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 pantu ar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118.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jo nav iespējams, ka konkrētas likuma vienības stājas spēkā ātrāk par pašu likumu, kā šobrīd paredzēts likumprojekta 3. pantā ietvertā likuma pārejas noteikumā. Attiecīgi lūdzam precizēt likumprojektu, paredzot, ka likums stājas spēkā noteiktā datumā un ka, ja nepieciešams, konkrētas grozījumu vienības stājas spēkā ar vēlāku datumu. Precizējot likumprojektu, aicinām arī attiecīgi precizēt anotācijā norādīto likuma spēkā stāšanās termiņu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sniegt izvērstāku skaidrojumu par likumprojekta 2. panta u.c. saistītā regulējuma likumprojektā, kas attiecas uz tiesībām veikt elektroniskās naudas žetona emisiju, aktīviem piesaistītā žetona emisiju atbilstību </w:t>
            </w:r>
            <w:r w:rsidR="00000000" w:rsidRPr="00000000" w:rsidDel="00000000">
              <w:rPr>
                <w:i w:val="1"/>
                <w:rtl w:val="0"/>
              </w:rPr>
              <w:t xml:space="preserve">Eiropas Parlamenta un Padomes 2023. gada 31. maija regulas (ES) 2023/1114 par kriptoaktīvu tirgiem un ar ko groza regulas (ES) Nr. 1093/2010 un (ES) Nr. 1095/2010 un direktīvas 2013/36/ES un (ES) 2019/1937</w:t>
            </w:r>
            <w:r w:rsidR="00000000" w:rsidRPr="00000000" w:rsidDel="00000000">
              <w:rPr>
                <w:rtl w:val="0"/>
              </w:rPr>
              <w:t xml:space="preserve"> (turpmāk - Regula Nr. 2023/1114). Proti, likumprojektā un anotācijā tiek norādīts uz kredītiestādes tiesībām veikt elektroniskās naudas žetona vai aktīviem piesaistītā žetona emisiju. Regulas Nr. 2023/1114 16. panta 1. punkts paredz, ka: "</w:t>
            </w:r>
            <w:r w:rsidR="00000000" w:rsidRPr="00000000" w:rsidDel="00000000">
              <w:rPr>
                <w:i w:val="1"/>
                <w:rtl w:val="0"/>
              </w:rPr>
              <w:t xml:space="preserve">Neviena persona Savienībā publiski nepiedāvā aktīviem piesaistītu žetonu vai nelūdz aktīviem piesaistīta žetona pielaidi tirdzniecībai, izņemot gadījumus, kad minētā persona ir minētā aktīviem piesaistītā žetona emitents un ir: [..] b) kredītiestāde, kas atbilst 17. pantam</w:t>
            </w:r>
            <w:r w:rsidR="00000000" w:rsidRPr="00000000" w:rsidDel="00000000">
              <w:rPr>
                <w:rtl w:val="0"/>
              </w:rPr>
              <w:t xml:space="preserve">." Līdzīga satura norma attiecībā uz elektroniskās naudas žetoniem ir paredzēta Regulas Nr. 2023/1114 48. panta 1. punktā. Minētās regulas normas, šķiet, neregulē tiesības veikt emisiju kā tādu, bet gan tiesības publiski piedāvāt attiecīgos žetonus vai lūgt to pielaidi tirdzniecībai. Attiecīgi aicinām izvērtēt un sniegt izvērstāku skaidrojumu par likumprojektā ietvertā regulējuma un izmantotās terminoloģijas atbilstību Regulai Nr. 2023/1114, tostarp konkrētām tās normām. Ja nepieciešams, aicinām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w:t>
    </w:r>
    <w:r>
      <w:br/>
    </w:r>
    <w:r w:rsidR="00000000" w:rsidRPr="00000000" w:rsidDel="00000000">
      <w:rPr>
        <w:rtl w:val="0"/>
      </w:rPr>
      <w:t xml:space="preserve">Izdrukāts 16.04.2024.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w:t>
    </w:r>
    <w:r>
      <w:br/>
    </w:r>
    <w:r w:rsidR="00000000" w:rsidRPr="00000000" w:rsidDel="00000000">
      <w:rPr>
        <w:rtl w:val="0"/>
      </w:rPr>
      <w:t xml:space="preserve">Izdrukāts 16.04.2024.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Atzinumi_24-TA-40.docx</dc:title>
</cp:coreProperties>
</file>

<file path=docProps/custom.xml><?xml version="1.0" encoding="utf-8"?>
<Properties xmlns="http://schemas.openxmlformats.org/officeDocument/2006/custom-properties" xmlns:vt="http://schemas.openxmlformats.org/officeDocument/2006/docPropsVTypes"/>
</file>