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iznākuma rādītājs – atbalstītie uzņēmumi (tai skaitā mikrouzņēmumi, mazie, vidējie un lielie uzņēmumi). Iznākuma rādītāja vērtība tiek sasniegta, ja otrās kārtas projekta ietvaros veikti ieguldījumi, nodrošinot atbalstu vienam uzņēmumam;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nevis komercdarbības vai saimnieciskās darbības subjektu. Ņemot vērā minēto, lūdzam izvērtēt un nepieciešamības gadījumā precizēt visu noteikumu projektu, termina “uzņēmums” vietā lietojot juridiski korektus apzīmējumus –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Izmaksas ir attiecināmas no 2023. gada 1. janvāra. Ja projekts ir pabeigts pirms projekta iesnieguma iesniegšanas sadarbības iestādē, projekta iesniegums tiek noraidīts.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izmaksas ir attiecināmas no 2023. gada 1. janvāra, savukārt, ja projekts ir pabeigts pirms projekta iesnieguma iesniegšanas sadarbības iestādē, projekta iesniegums tiek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sniegts skaidrojums, kāpēc tieši 2023. gada 1. janvāris ir noteikts kā attiecināmo izmaksu sākuma datums un kā šī izvēle ir pamatota ar atbilstošajiem normatīvajiem vai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attiecināmo izmaksu sākuma datuma izvēles pamatojumu, lai nodrošinātu tiesisko skaidrību un atbilstību Eiropas Savienības fondu izmantošanas un projektu finansēšanas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novērš interešu konflikta risku saskaņā ar Eiropas Parlamenta un Padomes Regulas (ES, Euratom) 2024/2509 (2024. gada 23. septembris) par finanšu noteikumiem, ko piemēro Savienības vispārējam budžetam 61. panta prasībām un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atsauce uz Eiropas Parlamenta un Padomes 2024. gada 23. septembra Regulu (ES, Euratom) 2024/2509 par finanšu noteikumiem, ko piemēro Savienības vispārējam budžetam (pārstrādāta redakcija), ir noformēta neatbilstoši Ministru kabineta 2009. gada 3. februāra noteikumu Nr. 108 “Normatīvo aktu projektu sagatavošanas noteikumi” 171.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korekti norādot izdevējinstitūciju, pieņemšanas datumu, regulas numuru un pilnu nosaukumu atbilstoši normatīvo aktu projektu sagatavošanas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 interešu konflikta risku saskaņā ar Eiropas Parlamenta un Padomes 2024. gada 23. septembra regulas (ES, Euratom) 2024/2509 par finanšu noteikumiem, ko piemēro Savienības vispārējam budžetam 61. panta prasībām un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28.04.2025.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28.04.2025.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