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novērstu avāriju vai veiktu glābšanas darbus, kā arī avārijas seku likvidēšanas darbus (ja nav citas iespējas), transportlīdzekli atļauts pārvietot uz jebkuru citu stāvēšanai atļautu vietu jebkādā veidā, kas tam rada iespējami mazākus bojājumus, un tā, lai radītie zaudējumi būtu mazāki nekā novērstie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Noteikumu 19. punktu, precizējot projekta 20. punktu, ņemot vērā to, ka tas neatbilst Ministru kabinetam dotajam pilnvarojumam. Ceļu satiksmes likums ir pilnvarojis Ministru kabinetu noteikt kārtību, kādā piespiedu kārtā pārvieto transportlīdzekli, un kārtību, kādā transportlīdzeklis atzīstams par ilgstoši atstātu uz ceļa. Savukārt projekta 20. punktā ietvertais Noteikumu 19. punkts un Noteikumu 19. punkts spēkā esošajā redakcijā nosaka gadījumus, kādos ir atļauts pārvietot transportlīdzekli piespiedu kārtā. Vēršam uzmanību uz to, ka gadījumus, kādos ir atļauts pārvietot transportlīdzekli piespiedu kārtā, nosaka Ceļu satiksmes likuma 43.</w:t>
            </w:r>
            <w:r w:rsidR="00000000" w:rsidRPr="00000000" w:rsidDel="00000000">
              <w:rPr>
                <w:vertAlign w:val="superscript"/>
                <w:rtl w:val="0"/>
              </w:rPr>
              <w:t xml:space="preserve">3</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ievērojot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2. punkts paredz svītrot Noteikumu 6. punktu, taču anotācijas 1.2. apakšsadaļā "Problēmas un risinājumi" ir norādīts, ka Noteikumu 6. punkts tiek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nav ietverta informācija par grozījumiem, kurus paredz projekta 20.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20.05.2024.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20.05.2024.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