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inventarizācijas un Meža valsts reģistra informācijas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konceptuāli neatbalsta tālāku grozījumu virzīšanu, kamēr Ministru kabinetā nav apstiprinātas Meža un saistīto nozaru attīstības pamatnostādnes un nav veikts Ietekmes uz vidi stratēģiskais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VARAM kategoriski nepiekrīt "Papildu dokumenti" pievienotajam grozījumu izvērtējumam attiecībā pret Satversmes tiesas 2024. gada 8. aprīļa spriedumā lietā Nr.2023-01-03 minētajiem argumentiem par to kāpēc galvenās cirtes caurmēra samazināšanai bija nepieciešams veikt ietekmes uz vidi stratēģiskais izvērtējumu. Nevienam no paredzētajiem grozījumiem, netiek konstatēta nedz ietekme uz lēmuma pieņemšanu, nedz ietekme uz īpaši aizsargājamām dabas teritorijām. No izvērtējuma izriet, ka visi paredzētie grozījumi ir tikai tehniski precizējumi, kas saistīti ar administratīvā sloga samazināšanu un nerada ietekmi uz vidi. Šādam izvērtējumam VARAM nevar piekrist, jo vairāki grozījumi var radīt pat ļoti būtisku ietekmi uz vidi un bioloģisko daudzveidību, kā arī iespējām saimniekot dabai draudzīgi un ilgtspējīgi.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24.07.2025.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24.07.2025.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