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Papildināt pārejas noteikumus ar 75.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Šā likuma 23. panta pirmās daļas 29. punkta nosacījumi par nekustamā īpašuma vērtību 350 000 </w:t>
            </w:r>
            <w:r w:rsidR="00000000" w:rsidRPr="00000000" w:rsidDel="00000000">
              <w:rPr>
                <w:i w:val="1"/>
                <w:rtl w:val="0"/>
              </w:rPr>
              <w:t xml:space="preserve">euro</w:t>
            </w:r>
            <w:r w:rsidR="00000000" w:rsidRPr="00000000" w:rsidDel="00000000">
              <w:rPr>
                <w:rtl w:val="0"/>
              </w:rPr>
              <w:t xml:space="preserve"> apmērā vai 175 000 </w:t>
            </w:r>
            <w:r w:rsidR="00000000" w:rsidRPr="00000000" w:rsidDel="00000000">
              <w:rPr>
                <w:i w:val="1"/>
                <w:rtl w:val="0"/>
              </w:rPr>
              <w:t xml:space="preserve">euro</w:t>
            </w:r>
            <w:r w:rsidR="00000000" w:rsidRPr="00000000" w:rsidDel="00000000">
              <w:rPr>
                <w:rtl w:val="0"/>
              </w:rPr>
              <w:t xml:space="preserve"> divu nekustamo īpašumu iegādes gadījumā  un nosacījums par to, ka ārzemniekam jābūt Ekonomiskās sadarbības un attīstības organizācijas dalībvalsts pilsonim, piemērojami pirmreizēju termiņuzturēšanās atļauju pieteikumiem, kas saņemti Pārvaldē, sākot no 2026. gada 1. aprīļa.".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Ekonomikas ministrijas (turpmāk – Ministrija) 2025. gada 14. oktobra vēstuli Nr. 3.3-1/2025/6055N Saeimas Aizsardzības, iekšlietu un korupcijas novēršanas komisijai (turpmāk – Komisija), kurā uzsvērts, ka pašreizējos ģeopolitiskajos un ekonomiskajos apstākļos valstij ir būtiski nodrošināt iespēju piesaistīt investīcijas un veicināt budžeta ieņēmumus, lai stiprinātu Latvijas ekonomisko noturību un valsts finansiālo stabilitāti, vienlaikus akcentējot nepieciešamību nodrošināt izsvērtu un prognozējamu tiesisko regulējumu, kas garantē drošību, aizsargā sabiedrības intereses un veido uzticamu vidi gan uzņēmējdarbībai, gan iedzīvotājiem, Komisija  šī gada 15. oktobra sēdē aicināja Ministriju izstrādāt un iesniegt izskatīšanai izsvērtus priekšlikumus tiesiskā regulējuma un nosacījumu termiņuzturēšanās atļauju piešķiršanai par ieguldījumiem nekustamajā īpašumā pilnveidošanai uz likumprojekta “Imigrācijas likums” (Nr: 56/Lp14) 3. lasījumu. Priekšlikumu mērķis būtu nodrošināt pārskatāmu, ekonomikas izaugsmi un investīciju piesaisti veicinošu regulējumu, kas vienlaikus atbilstu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koordinētu Komisijas uzdotā uzdevuma izpildi, Ministrija atsauc iebildumus, kas izteikti šī gada 29. augustā TAP portālā un šī gada 18. septembra vēstulē  "Par likumprojektu "Grozījumi Imigrācijas likumā"" (reģ. Nr. 3.3-4/2025/5473N) Pilsonības un migrācijas lietu pārvaldei, saglabājot spēkā esošo regulējumu un nosacījumus termiņuzturēšanās atļauju piešķiršanai par ieguldījumiem nekustamajā īpašumā. Līdz ar to Ministrija aicina svītrot Likumprojekta “Grozījumi Imigrācijas likumā” (24-TA-3000) 6. panta otro daļu, kas nosaka izteikt Imigrācijas likuma 23. panta pirmās daļas 29. punktu jaunā redakcijā, kā arī - svītrot atbilstošo informāciju anotācijā, tostarp norādi: “Ievērojot to, ka jaunajā likumprojektā “Imigrācijas likums”, kas šobrīd tiek izskatīts Saeimā pirms otrā lasījuma, šāda norma nav paredzēta vispār, pārejas periodā ir samērīgi sašaurināt tās subjektu loku, tiesības saņemt termiņuzturēšanās atļauju nekustamā īpašuma iegādes gadījumā attiecinot uz valstīm ar zemāku nelegālās imigrācijas vai terorisma risku. Jāņem vērā arī tas, ka Eiropas Komisija vairākkārt aicinājusi dalībvalstis neiekļaut šāda rakstura normas migrācijas jomu regulējošajos tiesību aktos, norādot uz drošības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apliecina gatavību sadarbībai ar Komisiju un citām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atsaucam šī gada 1. oktobrī sniegto iebildumu, kas paredzēja noteikt , ka arī 23. panta 29. punktā noteikto termiņuzturēšanās atļauju saņēmējiem netiktu noteikts reģistrācijas termiņš – attiecīgi, tiktu atcelta šī brīža prasība veikt reģistrāciju reizi gadā, radot ārvalstu investoriem neērtības sakarā ar obligātu ikgadējo vizīti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uzdevumu un jaunā Imigrācijas likuma diskusijas Komisijā, Ministrijas ieskatā līdzšinējā regulējuma saglabāšana nodrošinātu konsekventu, ekonomikas attīstību veicinošu un uz objektīviem kritērijiem balstītu regulējumu, vienlaikus saglabājot samērību starp valsts drošības apsvērumiem un nepieciešamību nodrošināt ilgtspējīgu investīciju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Vitkaua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28.11.2025.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28.11.2025.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