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pasākuma pirmās kārtas ietvaros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2023. gada 13. decembra Regulu (ES)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w:t>
            </w:r>
            <w:r w:rsidR="00000000" w:rsidRPr="00000000" w:rsidDel="00000000">
              <w:rPr>
                <w:rtl w:val="0"/>
              </w:rPr>
              <w:t xml:space="preserve">2023/2831</w:t>
            </w:r>
            <w:r w:rsidR="00000000" w:rsidRPr="00000000" w:rsidDel="00000000">
              <w:rPr>
                <w:rtl w:val="0"/>
              </w:rPr>
              <w:t xml:space="preserve">), bet darba devējam – nefinanšu atbalsta (atbalsta apmērs pirms atbalsta piešķiršanas finanšu izteiksmē tiek izteikts līdzvērtīgi grantam) vai granta veidā atbilstoši Komisijas regulai </w:t>
            </w:r>
            <w:r w:rsidR="00000000" w:rsidRPr="00000000" w:rsidDel="00000000">
              <w:rPr>
                <w:rtl w:val="0"/>
              </w:rPr>
              <w:t xml:space="preserve">2023/2831</w:t>
            </w:r>
            <w:r w:rsidR="00000000" w:rsidRPr="00000000" w:rsidDel="00000000">
              <w:rPr>
                <w:rtl w:val="0"/>
              </w:rPr>
              <w:t xml:space="preserve"> vai atbilstoši Komisijas regulai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9. punkta d) apakšpunkta nosacījumiem  finansējuma saņēmējs var kļūt par atbalsta sniedzēju tikai tāda atbalsta kontekstā, ko sniedz saskaņā ar Eiropas Komisijas Regulu (ES) Nr. 1407/2013 par Līguma par Eiropas Savienības darbību 107. un 108. panta piemērošanu de minimis atbalstam (un regulu, kas to aizstāj - Komisijas Regulu (ES) Nr. 2023/2831 par Līguma par Eiropas Savienības darbību 107. un 108. panta piemērošanu de minimis atbalstam) vai Komisijas Regulu (ES) Nr. 717/2014 par Līguma par Eiropas Savienības darbību 107. un 108. panta piemērošanu de minimis atbalstam zvejniecības un akvakultūras nozarē. Ņemot vērā, ka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1.kārta (turpmāk – 4.2.4.1. pasākuma 1.kārta) tiek īstenota saskaņā ar daudzpakāpju projektu atbalsta shēmu, t.i. finansējuma saņēmējs sniedz tālāku atbalstu gala labuma guvējam, Eiropas Komisijas 2014. gada 17. jūnija Regula (ES) Nr. 651/2014, ar ko noteiktas atbalsta kategorijas atzīst par saderīgām ar iekšējo tirgu, piemērojot Līguma 107. un 108. pantu (turpmāk – Regula Nr. 651/2014) nav piemērojama, izmantojot esošo 4.2.4.1.pasākuma 1.kārtas ieviešanas shēmu. Ņemot vērā, ka Regula Nr. 651/2014 var tikt piemērota gadījumos, kad Centrālā finanšu un līgumu aģentūra (turpmāk – CFLA) ir atbalsta sniedzējs, 4.2.4.1. pasākuma 1.kārtas Ministru kabineta noteikumu grozījumi ir atbalstāmi tikai pie nosacījuma, ja panākta vienošanās ar CFLA, ka Regula Nr. 651/2014 piemērošanas gadījumā atbalsta sniedzējs ir CFLA. Ja tomēr tiek plānota atbalsta shēma, kur finansējuma saņēmējs atlasa gala saņēmējus, šādā gadījumā atbalsta shēma jāsaskaņo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to, ka ar noteikumu projektu atbalsta pasākumā tiek ieviesta iespēja piemērot vēl vienu komercdarbības atbalsta regulējumu un, ja tiek rasts risinājums, kā tomēr ievērot Regulas Nr.2021/1060 2.panta 9.punktā noteikto, ka daudzpakāpju programmās finansējuma saņēmējs nedrīkst sniegt atbalstu gala labuma guvējam ar Regulu Nr.651/2014, aicinām noteikumu projektu papildināt ar visiem piemērojamajiem Regulas Nr.651/2014 nosacījumiem (šobrīd nav ietverts, piemēram, nosacījums par paziņošanas robežvērtībām, definīcija darbu sākumam, nosacījumi, kas izriet no Regulas Nr.651/2014 9.panta un 12.panta). Aicinām arī pārliecināties, vai visām MK noteikumos minētajām attiecināmajām izmaksām atbalstu gala labuma guvējam var piešķirt, piemērojot Regulas 651/2014 31.panta nosacījumus, iekļaujot atbilstības izvērtējumu anotācijā. Lūdzam arī precizēt noteikumu projekta 52’.punktā noteikto termiņu, līdz kuram atbalstu var piešķirt ar Regulu Nr.651/2014 (tas ir 2027.gada 30.jūnijs, ietverot arī 6 mēnešu pārejas periodu, nevis 2029.gada 30.novembris). Kā arī lūdzam noteikt, ka MK noteikumu 15.punktā minētā projekta iesniedzēja iekšējā kārtība tiek papildināta attiecībā uz atbalsta piešķiršanu ar Regulas Nr.651/2014 31.pantu. Anotācijā jāietver arī nosacījums, ko paredz Regulas Nr.651/2014 11.pants.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1.3.sadaļas pašreizējās situācijas apraksta atsauci – "Ekonomikas ministrija, </w:t>
            </w:r>
            <w:r w:rsidR="00000000" w:rsidRPr="00000000" w:rsidDel="00000000">
              <w:rPr>
                <w:u w:val="single"/>
                <w:rtl w:val="0"/>
              </w:rPr>
              <w:t xml:space="preserve">konsultējoties ar nozari</w:t>
            </w:r>
            <w:r w:rsidR="00000000" w:rsidRPr="00000000" w:rsidDel="00000000">
              <w:rPr>
                <w:rtl w:val="0"/>
              </w:rPr>
              <w:t xml:space="preserve">" saistīt ar konkrētām izglītības vai darba devējus pārstāvošām organizācijām, kas būtu sniegušas informāciju par nepieciešamību paplašināt atbalsta saņemšanas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devējs – gala labuma guvējs, kam atbalsta piešķiršanas dienā saskaņā ar Valsts ieņēmumu dienesta administrēto nodokļu (nodevu) parādnieku datubāzē pieejamo informāciju nav nodokļu vai nodevu parādu, tai skaitā valsts sociālās apdrošināšanas obligāto iemaksu parādu, kas kopsummā pārsniedz 150</w:t>
            </w:r>
            <w:r w:rsidR="00000000" w:rsidRPr="00000000" w:rsidDel="00000000">
              <w:rPr>
                <w:i w:val="1"/>
                <w:rtl w:val="0"/>
              </w:rPr>
              <w:t xml:space="preserve"> euro</w:t>
            </w:r>
            <w:r w:rsidR="00000000" w:rsidRPr="00000000" w:rsidDel="00000000">
              <w:rPr>
                <w:rtl w:val="0"/>
              </w:rPr>
              <w:t xml:space="preserve">, un kas ir Latvijas Republikas Uzņēmumu reģistrā reģistrēts komersants, kurš atbilst sīkā (mikro), mazā un vidējā komersanta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vai lielā komersanta statusam saskaņā ar Komisijas regulas Nr. </w:t>
            </w:r>
            <w:r w:rsidR="00000000" w:rsidRPr="00000000" w:rsidDel="00000000">
              <w:rPr>
                <w:rtl w:val="0"/>
              </w:rPr>
              <w:t xml:space="preserve">651/2014</w:t>
            </w:r>
            <w:r w:rsidR="00000000" w:rsidRPr="00000000" w:rsidDel="00000000">
              <w:rPr>
                <w:rtl w:val="0"/>
              </w:rPr>
              <w:t xml:space="preserve"> 2. panta 24. punktu (tai skaitā tie, kas reģistrēti Latvijas Republikā reģistrēta ārvalstu komersanta filiālē), vai pašnodarbināta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darba devēju nodokļu pārbaudes procesā, aicinām Ekonomikas ministriju izskatīt iespēju papildināt anotāciju ar iespēju neveikt pārbaudes, ja nodokļu parādu pārbaudes brīdī darba devēja nodokļu maksātāja reitings ir “A”. Minētā pieeja būtu līdzīga pieejai, kas norādīta Vadošās iestādes metodikā Nr. 3.1 “Eiropas Reģionālās attīstības fonda, Eiropas Sociālā fonda plus, Kohēzijas fonda un Taisnīgas pārkārtošanās fonda projektu iesniegumu atlases metodika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13.02.2026.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13.02.2026.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Atzinumi_26-TA-144.docx</dc:title>
</cp:coreProperties>
</file>

<file path=docProps/custom.xml><?xml version="1.0" encoding="utf-8"?>
<Properties xmlns="http://schemas.openxmlformats.org/officeDocument/2006/custom-properties" xmlns:vt="http://schemas.openxmlformats.org/officeDocument/2006/docPropsVTypes"/>
</file>