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1.punktā attiecībā uz noteikumu 17.5 punktu ir noteikts, ka finansējums tenūrai tiek piešķirts zinātnes universitātēm, savukārt Projekta anotācijā ir minēts grozījumu mērķis - noteikt valsts budžeta finansējuma piešķiršanas profesūras (profesoru kopums augstskolās) prognozējamās karjeras sistēmas jeb profesūras tenūras nodrošināšanai kārtību un noteikt no finansējuma attiecināmās izmaksas. Tātad anotācijā  minētais mērķis ir attiecināms uz visiem augstskolu tipiem. Lai novērstu pretrunu starp projektā un tā anotācijā noteikto mērķi, lūdzam papildināt anotācijas sadaļu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informāciju  par pārējām augstskolu tipiem, proti,  par plānoto citu augstskolu tipu tenūras finansēšanu, tostarp, kā profesūras tenūras sistēma tiktu nodrošināta arī mākslu un kultūras universitātēs.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par plānoto rīcību  un termiņiem attiecībā uz citu augstskolu tipu (mākslu un kultūras universitātes, lietišķo zinātņu universitātes un lietišķo zinātņu augstskolas) tipu tenūras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12.02.2024.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12.02.2024.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Atzinumi_24-TA-211.docx</dc:title>
</cp:coreProperties>
</file>

<file path=docProps/custom.xml><?xml version="1.0" encoding="utf-8"?>
<Properties xmlns="http://schemas.openxmlformats.org/officeDocument/2006/custom-properties" xmlns:vt="http://schemas.openxmlformats.org/officeDocument/2006/docPropsVTypes"/>
</file>