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Būvniecības informācijas sistēmas funkcionalitātes pilnveidošanai 2024.gadā nepieciešamo finansējumu 106 480 euro apmērā atspoguļot anotācijas 3.sadaļas 2.punktā, 2.1.apakšpunktā, 3.punktā un 3.1.apakšpunktā, svītrojot šobrīd norādīto precizēto finansiālo ietekmi 5.punktā. Vienlaikus lūdzam precizēt punktā “Cita informācija” sniegto informāciju, norādot, ka Būvniecības informācijas sistēmas funkcionalitātes pilnveidošanai nepieciešamais finansējums 106 480 euro apmērā tiks nodrošināts Ekonomikas ministrijas budžeta programmā 20.00.00 "Būvniecība" 2024. gadā sistēmas uzturēšanai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23.05.2023.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23.05.2023.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Atzinumi_23-TA-461.docx</dc:title>
</cp:coreProperties>
</file>

<file path=docProps/custom.xml><?xml version="1.0" encoding="utf-8"?>
<Properties xmlns="http://schemas.openxmlformats.org/officeDocument/2006/custom-properties" xmlns:vt="http://schemas.openxmlformats.org/officeDocument/2006/docPropsVTypes"/>
</file>