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nosakāms finanšu gada neto apgrozījums, no kura aprēķina soda naudu, un soda naudas apmēra noteikšanas kritēriji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nosakāms finanšu gada neto apgrozījums, no kura aprēķina soda naudu, un soda naudas apmēra noteikšanas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uztur 24.10.2024. atzinumā minēto konceptuālo iebildumu un atkārtoti norāda, ka Ministru kabineta noteikumu projektā "Noteikumi par kārtību, kādā nosakāms finanšu gada neto apgrozījums, no kura aprēķina soda naudu, un soda naudas apmēra noteikšanas kritēriji" (turpmāk – projekts) nav pieļaujams paredzēt tādus soda naudas apmēra noteikšanas kritērijus, kas iejaucas likumdevēja ekskluzīvajā kompetences jomā – noteikt pārkāpumus un par tiem piemērojamos sodus. Projektā atkārtoti likumā ietverti soda piemērošanas kritēriji, izveidota būtībā atšķirīga pārkāpumu sistēma, kā arī pilnībā mainīta sodu piemērošanas sistēma par vairākiem izdarītiem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Tieslietu ministrijas 24.10.2024 atzinumā minētajam norādām, ka tas, ka šobrīd jau pastāv līdzīgs regulējums, nevar kalpot par argumentu līdzīga, pēc būtības kļūdaina regulējuma veidošanai. Atkārtoti uzsveram, ka līdzīga regulējuma esībai nav  izšķirošas nozīmes.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Nosakot soda naudas apmēru, Nacionālais kiberdrošības centrs un Satversmes aizsardzības birojs ņem vērā Nacionālās kiberdrošības likuma 45. panta sestajā daļā ietvertos apsvērumus un citus apstākļus, kas identificēti subjekta uzraudzības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uztur 24.10.2024. atzinumā minēto iebildumu un atkārtoti norāda, ka projektā nav pieļaujams dublēt vai mainīt likumā ietverto soda un tā piemērošanas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precizētajā 7. punktā ir norādīts, ka, nosakot soda naudas apmēru,Nacionālais kiberdrošības centrs un Satversmes aizsardzības birojs ņem vērā Nacionālās kiberdrošības likuma 45. panta sestajā daļā ietvertos apsvērumus </w:t>
            </w:r>
            <w:r w:rsidR="00000000" w:rsidRPr="00000000" w:rsidDel="00000000">
              <w:rPr>
                <w:b w:val="1"/>
                <w:rtl w:val="0"/>
              </w:rPr>
              <w:t xml:space="preserve">un citus apstākļus</w:t>
            </w:r>
            <w:r w:rsidR="00000000" w:rsidRPr="00000000" w:rsidDel="00000000">
              <w:rPr>
                <w:rtl w:val="0"/>
              </w:rPr>
              <w:t xml:space="preserve">, kas identificēti subjekta uzraudzības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Nacionālās kiberdrošības likuma 46. panta sestā daļa noteic, ka soda naudas apmērs ir nosakāms samērīgs ar izdarīto pārkāpumu. Nacionālais kiberdrošības centrs un Satversmes aizsardzības birojs, pieņemot lēmumu par soda naudas piemērošanu un tās apmēru, izvērtē un ņem vērā šā likuma 45. panta sestajā daļā minētos apsvērumus, kā arī personas mantisko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vai nu daļēji atkārto likumā esošo regulējumu, vai arī projektā jau vērojams mēģinājums mainīt soda naudas apmēra noteikšanas regulējumu, kas nav pieļaujams.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apsvērt 7. punkta ietveršanas projektā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būtisko pakalpojumu sniedzējam un informācijas un komunikācijas tehnoloģiju kritiskās infrastruktūras īpašniekam vai tiesiskajam valdītājam līdz  0,2 procentiem no iepriekšējā finanšu gada neto apgrozījuma;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Izskatot projektu un projekta sākotnējās ietekmes </w:t>
            </w:r>
            <w:r w:rsidR="00000000" w:rsidRPr="00000000" w:rsidDel="00000000">
              <w:rPr>
                <w:b w:val="1"/>
                <w:i w:val="1"/>
                <w:rtl w:val="0"/>
              </w:rPr>
              <w:t xml:space="preserve">(ex-ante)</w:t>
            </w:r>
            <w:r w:rsidR="00000000" w:rsidRPr="00000000" w:rsidDel="00000000">
              <w:rPr>
                <w:b w:val="1"/>
                <w:rtl w:val="0"/>
              </w:rPr>
              <w:t xml:space="preserve"> novērtējuma ziņojumu (turpmāk – anotācija), Tieslietu ministrija secina, ka tās 24.10.2024. atzinumā minētais iebildums tomēr netika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sabiedrības informēšanas nolūkā atkārtoti iesakām projekta 8.1., 8.2., 9.1., 9.2., 10.1., 10.2., 11.2. un 11.3. apakšpunktā vai anotācijā ietvert skaidru un saprotamu soda naudas apmēra noteikšanas pamatojumu. Anotācijā nav ietverts skaidrs naudas apmēra noteikšanas pamatojums. Iesakām paskaidrot piemērojamos soda procentus katrā projekta punktā (apakšpunktā) vai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neatbilstības ilgumu, soda naudas apmēru procentos no subjekta iepriekšējā finanšu gada neto apgrozījuma nosaka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uztur tās 24.10.2024 atzinumā ietverto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daļēji paskaidrots kādēļ neatbilstības ilgumam tiek piešķirta izšķiroša nozīme. Proti, anotācijas 1.3. sadaļā ir norādīts, ka "</w:t>
            </w:r>
            <w:r w:rsidR="00000000" w:rsidRPr="00000000" w:rsidDel="00000000">
              <w:rPr>
                <w:i w:val="1"/>
                <w:rtl w:val="0"/>
              </w:rPr>
              <w:t xml:space="preserve">noteikumu projektā uzsvars likts uz neatbilstību ilgumu kā būtisku aspektu soda piemērošanas kontekstā. NKDL ietvertā kiberincidenta definīcija skaidro, ka tas ir notikums, kas apdraud apstrādātus datus vai tādu pakalpojumu pieejamību, autentiskumu, integritāti vai konfidencialitāti, kurus piedāvā tīklu un informācijas sistēmas vai kuri pieejami ar tīklu un informācijas sistēmu starpniecību. Līdz ar to, jo ilgāk netiek novērsta konstatētā neatbilstība, jo lielāki zaudējumi varētu tikt izraisīti un smagāki darbības traucējumi rasties, tāpēc ir būtiski neatbilstības novērst pēc iespējas ātrāk un ilgumam kā kritērijam ir izšķiroša nozīme"</w:t>
            </w:r>
            <w:r w:rsidR="00000000" w:rsidRPr="00000000" w:rsidDel="00000000">
              <w:rPr>
                <w:rtl w:val="0"/>
              </w:rPr>
              <w:t xml:space="preserve">.  Tomēr vēršam uzmanību, ka minētais arguments nevar tiek uzskatīts par tādu, kas attaisno neatbilstības ilgumam piešķirto izšķirošo nozīmi projekta ietvaros.</w:t>
            </w:r>
            <w:r w:rsidR="00000000" w:rsidRPr="00000000" w:rsidDel="00000000">
              <w:rPr>
                <w:b w:val="1"/>
                <w:rtl w:val="0"/>
              </w:rPr>
              <w:t xml:space="preserve"> Ņemot vērā minēto, atkārtoti lūdzam izvērtēt šāda regulējuma atbilstību sodu tiesībās raksturīgajiem soda piemērošanas kritērijiem. Pamatā būtu jābūt vienotai sodu piemērošanas sistēmai, ja vien nav īpaša pamatojuma konkrētajā jomā paredzēt atšķirīgus kritērijus.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subjekts izdarījis vairākus pārkāpumus un tie izskatīti vienlaikus vienā lietā, par katru pārkāpumu soda naudas apmēru nosaka atsevišķi. Galīgo soda naudas apmēru aprēķina tās soda naudas ietvaros, kas noteikta par smagāko no konstatētajām neatbilstībām.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uztur 24.10.2024. atzinumā izteikto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14. punkta otrā teikuma atbilstību Nacionālās kiberdrošības likumam. Piedāvājam svītrot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punktu atbilstoši Nacionālās kiberdrošības likuma 46. panta ceturtajā daļā noteiktajam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apakšsadaļā ietverto informāciju, norādot korektu precizētā projekta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24-TA-2310</w:t>
    </w:r>
    <w:r>
      <w:br/>
    </w:r>
    <w:r w:rsidR="00000000" w:rsidRPr="00000000" w:rsidDel="00000000">
      <w:rPr>
        <w:rtl w:val="0"/>
      </w:rPr>
      <w:t xml:space="preserve">Izdrukāts 18.12.2024.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24-TA-2310</w:t>
    </w:r>
    <w:r>
      <w:br/>
    </w:r>
    <w:r w:rsidR="00000000" w:rsidRPr="00000000" w:rsidDel="00000000">
      <w:rPr>
        <w:rtl w:val="0"/>
      </w:rPr>
      <w:t xml:space="preserve">Izdrukāts 18.12.2024.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Atzinumi_24-TA-2310.docx</dc:title>
</cp:coreProperties>
</file>

<file path=docProps/custom.xml><?xml version="1.0" encoding="utf-8"?>
<Properties xmlns="http://schemas.openxmlformats.org/officeDocument/2006/custom-properties" xmlns:vt="http://schemas.openxmlformats.org/officeDocument/2006/docPropsVTypes"/>
</file>