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un to vadītāju valsts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Transportlīdzekļu apdrošinātāju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administratīvā procesa informāciju par Administratīvās atbildības likuma 162. panta pirmajā daļā minētu administratīvo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14. punktā noteikts, kam ir tiesības iegūt informāciju par fiziskajai personai reģistrētiem pārkāpumu uzskaites punktiem. Ierosinām apsvērt, vai šo noteikumu 14.punkta ievaddaļa nebūtu papildināma arī ar atsauci uz šo noteikumu 7.2.punktā minētajiem pārkāpumiem. Lūdzu skatīt LTAB piedāvāto redakciju šo noteikumu 14.punkta ievaddaļas grozījumiem.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šo noteikumu 14.punkta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Informāciju par fiziskajai personai reģistrētiem pārkāpumu uzskaites punktiem un administratīvā procesa informāciju par Administratīvās atbildības likuma 162. panta pirmajā daļā minēto administratīvo pārkāpumu, ir tiesības iegūt:".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24.04.2025.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24.04.2025.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Atzinumi_24-TA-1210.docx</dc:title>
</cp:coreProperties>
</file>

<file path=docProps/custom.xml><?xml version="1.0" encoding="utf-8"?>
<Properties xmlns="http://schemas.openxmlformats.org/officeDocument/2006/custom-properties" xmlns:vt="http://schemas.openxmlformats.org/officeDocument/2006/docPropsVTypes"/>
</file>