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34 800 000 </w:t>
            </w:r>
            <w:r w:rsidR="00000000" w:rsidRPr="00000000" w:rsidDel="00000000">
              <w:rPr>
                <w:i w:val="1"/>
                <w:rtl w:val="0"/>
              </w:rPr>
              <w:t xml:space="preserve">euro</w:t>
            </w:r>
            <w:r w:rsidR="00000000" w:rsidRPr="00000000" w:rsidDel="00000000">
              <w:rPr>
                <w:rtl w:val="0"/>
              </w:rPr>
              <w:t xml:space="preserve"> (no tā elastības finansējuma apjoms – 5 488 840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29 580 000 </w:t>
            </w:r>
            <w:r w:rsidR="00000000" w:rsidRPr="00000000" w:rsidDel="00000000">
              <w:rPr>
                <w:i w:val="1"/>
                <w:rtl w:val="0"/>
              </w:rPr>
              <w:t xml:space="preserve">euro</w:t>
            </w:r>
            <w:r w:rsidR="00000000" w:rsidRPr="00000000" w:rsidDel="00000000">
              <w:rPr>
                <w:rtl w:val="0"/>
              </w:rPr>
              <w:t xml:space="preserve"> (no tā elastības finansējuma apjoms –  4 665 514​​​​​​ </w:t>
            </w:r>
            <w:r w:rsidR="00000000" w:rsidRPr="00000000" w:rsidDel="00000000">
              <w:rPr>
                <w:i w:val="1"/>
                <w:rtl w:val="0"/>
              </w:rPr>
              <w:t xml:space="preserve">euro</w:t>
            </w:r>
            <w:r w:rsidR="00000000" w:rsidRPr="00000000" w:rsidDel="00000000">
              <w:rPr>
                <w:rtl w:val="0"/>
              </w:rPr>
              <w:t xml:space="preserve">) un valsts budžeta finansējums 5 220 000 </w:t>
            </w:r>
            <w:r w:rsidR="00000000" w:rsidRPr="00000000" w:rsidDel="00000000">
              <w:rPr>
                <w:i w:val="1"/>
                <w:rtl w:val="0"/>
              </w:rPr>
              <w:t xml:space="preserve">euro</w:t>
            </w:r>
            <w:r w:rsidR="00000000" w:rsidRPr="00000000" w:rsidDel="00000000">
              <w:rPr>
                <w:rtl w:val="0"/>
              </w:rPr>
              <w:t xml:space="preserve"> (no tā elastības finansējuma apjoms –  823 326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noteikt pasākumam pieejamo finansējumu (bez elastības finansējuma) sadalījumā pa finansējuma avotiem, un attiecīgi atbildīgās iestādes rīcību pēc vidusposma pārskata elastības finansējuma piešķiršanas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personāla izmaksas šo noteikumu 23.5. apakšpunktā minēto darbību īstenošanai, kas radušās uz darba līguma, uzņēmuma vai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27. punktā netiešo izmaksu vienoto likmi 15 % apmērā rēķina no noteikumu projekta 25.3. apakšpunktā minētajām izmaksām, lūdzam noteikumu projekta 25.3. apakšpunktā svītrot vārdus "uzņēmuma vai pakalpojuma līguma", ņemot vēra, ka netiešās izmaksas nevar rēķināt no personāla atlīdzības uz uzņēmuma/pakalpojuma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25. punktā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25.10. apakšpunktā minētās izmaksas, ja projektam sniegtais atbalsts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pasākumā plānoto izmaksu atbilstību Komisijas regulas Nr.651/2014 53.panta nosacījumiem, tai skaitā, Komisijas regulas Nr.651/2014 53.panta 4.punktā noteikto, ka attiecināmās izmaksas ir izmaksas par ieguldījumiem materiālajos un nemateriālajos aktīvos, kas veido pamatlīdzekļu vērtību, lūdzam precizēt noteikumu projekta 26.punktu un vārdus "ir saistītas" aizstāt ar vārdiem "veido".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nodrošina finansējumu projektā sasniegto rezultātu uzturēšanai un uztur sasniegtos rezultātus. Valsts budžeta iestādes ar detalizētu aprēķinu, ka rezultātu uzturēšana veido papildus izmaksas, var pieprasīt papildus valsts budžeta finansējumu sasniegto rezultātu uzturēšanai, citi finansējuma saņēmi rezultātu uzturēšanu nodrošina no tiem pieejamajiem finanšu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35.1.apakšpunktā svītrot normu, ka valsts budžeta iestādes var pieprasīt papildus valsts budžeta finansējumu sasniegto rezultātu uzturēšanai, ņemot vērā, ka valsts budžeta iestādēm nepieciešamais finansējums pabeigto Eiropas Savienības politiku instrumentu un pārējo ārvalstu finanšu palīdzības līdzfinansēto projektu uzturēšanai tiek piešķirts Likuma par budžetu un finanšu vadību, kā arī citos normatīvajos aktos paredzētajā kartībā.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veic izmaksu un ieguvumu analīzi, ievērojot, ka projekta ekonomiskā ienesīguma norma ir lielāka par sociālo diskonta likmi un projekta ekonomiskā neto pašreizējā vērtība ir lielāka par nulli, ja projekta iesniedzējs pretendē uz komercdarbības atbalstu saskaņā ar Regulas Nr. 651/2014 53.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ir ierobežota atlase ar projekta izmaksām virs 1 milj. euro, kā arī ņemot vērā Ministru kabineta 2023. gada 13. jūlija sēdes protokollēmumā (prot. Nr. 36 85. § 3. punkts) noteikto, izmaksu un ieguvumu analīzes sociālekonomiskās analīzes daļa ir jāveic katram projekta iesniegumam ar kopējām projekta izmaksām virs 1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izmaksu un ieguvumu analīze netiek plānota katram projektam ar kopējās izmaksām virs 1 milj. euro, lūdzam papildināt anotāciju ar pamatojumu šādam izņēmumam.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sadaļu V.Ar komercdarbības atbalsta saņemšanu saistītie nosacījumi ar informāciju, ka, īstenojot pasākumu, Komisijas Regulas Nr. 651/2014 4. panta 1. punkta z) apakšpunktā noteiktā atbalsta pasākuma paziņošanas robežvērtība netiks pārsniegta.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sniedz saskaņā ar Regulas Nr. 651/2014 53.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norādot, atbilstoši kādam Komisijas Regulas Nr. 651/2014 53. panta 3. punktā noteiktajam atbalsta veidam (ieguldījumu vai darbības atbalsts) tiks sniegts komercdarbības atbalsts. Lūdzam atbilstoši papildināt un precizēt anotāciju, ietverot skaidrojumu par plānoto atbalsta veidu un tā atbilstību Komisijas Regulas Nr. 615/2014 53.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Komercdarbības atbalstu finansējuma saņēmējam piešķir saskaņā ar Regulu Nr. 651/2014, ja ievēroti visi šajā punktā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42.1. apakšpunktā minēto, ka projektā paredzētas darbības Komisijas Regulas Nr. 651/2014 53. pantā 2. punkta a) apakšpunktā minētajam kultūras mērķim, lūdzam atbilstoši Komisijas Regulas Nr. 651/2014 53. panta 4. punkta a) apakšpunktā noteiktajam papildināt noteikumu projektu ar nosacījumu, ka vismaz 80 procentu no infrastruktūras gada jaudas, laika vai platības izteiksmē izmanto kultūras mērķim, šo nosacījumu piemērojot tikai Komisijas Regulas Nr. 651/2014 53. pantā 2. punkta a) apakšpunktā minētajam kultūras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ir pārkāptas Regulas Nr. 651/2014 prasības, vai ir konstatēts, ka projekts tā ieviešanas gaitā vai projekta pārskata periodā neatbilst šo noteikumu 40. punktā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52. punktā iekļauto atsauci uz noteikumu projekta 40.1. apakšpunktu, ņemot vērā, ka amortizācijas periodā jānodrošina ir atbilstība tikai 40.1. apakšpunktam, ja tajā minētais izmantots kā komercdarbības atbalstu izslēdzošais kritērijs pie projekta vērtēšanas, nevis 40.2. apakšpunkts, uz ko neattiecas uzraudzība amortizācijas periodā. Papildus vienotas terminoloģijas piemērošanas nolūkos lūdzam vārda vietā “valsts” lietot vārdu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regulas Nr. 651/2014 prasības vai ir konstatēts, ka projekts tā ieviešanas gaitā vai projekta pārskata periodā neatbilst šo noteikumu 40.1. apakšpunktā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11. pantā noteikto, lūdzam papildināt anotāciju ar informāciju, ka Ekonomikas ministrija 20 darba dienu laikā pēc noteikumu spēkā stāšanās iesniegs Eiropas Komisijai pasākuma kopsavilkuma informāciju, izmantojot SANI2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pielikumā norādīto projekta iesniedzēju biedrību “Latvijas Teātra darbinieku savienība”, lūdzam papildināt anotāciju ar informāciju, skaidrojot kuros normatīvajos aktos tai ir noteikts valsts pārvaldes deleģēto funkciju pildīšanas pienākums, kā arī papildināt ar informāciju vai ēkā tiek veiktas tikai valsts deleģētā uzdevuma funkcijas, vai arī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komercdarbības atbalsta regulējuma viedokļa, atbalsta saņēmēja juridiskais statuss (bezpeļņas organizācija vai sabiedriskā labuma statuss) nav noteicošais, lai izvērtētu vai saņēmējs ir/ vai nav saimnieciskās darbības veicējs un vai atbalsts tam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Šobrīd no anotācijā sniegtās informācijas nav skaidrs, kāpēc pirms projektu apstiprināšanas nepieciešams finansējums 29 311 160 euro apmērā, kas kavē projekta savlaicīgu sagatavošanu un iesniegšanu sadarbības iestādē pēc noteikumu projekta apstiprināšanas, kādam periodam un kādām izdevumu pozīcijām (pievienojot aprēķinus) minētais finansējums nepieciešams. Tāpat lūdzam skaidrot potenciālos risinājumus gadījumam, ja izpildās kāds no uzrādītajiem riskiem un attiecīgie izdevumi netiek attiecināti no Eiropas Reģionālās attīstības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1.-5.punktos atspoguļoto ietekmi uz valsts budžetu, ievērojot, ka Eiropas Reģionālās attīstības fonda finansējuma daļa 85% un valsts budžeta finansējuma daļa ir 15%. Vienlaikus 6.punktā lūdzam svītrot pēdējo rindkopu par finansējuma piesaistīti no 80.00.00 programmas „Nesadalītais finansējums Eiropas Savienības politiku instrumentu un pārējās ārvalstu finanšu palīdzības līdzfinansēto projektu un pasākumu īstenošanai", ņemot vērā, ka tas ir norādīts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Projektam, kam atbalsta sniegšana pasākuma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25. punktā norādītajām tiešajām attiecināmajām izmaksām un pamatdarbības peļņu no ieguldījuma.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 punktu atbilstoši Komisijas Regulā Nr. 651/2014 53. panta 6. punktā norādītajam, ka pamatdarbības peļņu atskaita no tiešajām attiecināmajām izmaksām iepriekš saskaņā ar pamatotām prognozēm vai izmanto atgūšanas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kvalificējams kā komercdarbības atbalsts, projekta iesniedzējs nedrīkst saņemt finansējumu un sadarbības partneris nevar tikt iesaistīts projekta īstenošanā, ja uz atbalsta piešķiršanas brīdi tas atbilst grūtībās nonākuša komersanta statusam saskaņā ar Regulas Nr. 651/2014 2. panta 18. punkta definīciju,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saprotams, ka nosacījums attiecas gan uz finansējuma saņēmēju, gan sadarbības partneri, lūdzam precizēt vārdu "tas" uz "projekta iesniedzējs un/vai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kvalificējams kā komercdarbības atbalsts, projekta iesniedzējs nedrīkst saņemt finansējumu un sadarbības partneris nevar tikt iesaistīts projekta īstenošanā, ja uz atbalsta piešķiršanas brīdi projekta iesniedzējs un/vai sadarbības partneris atbilst grūtībās nonākuša komersanta statusam saskaņā ar Regulas Nr. 651/2014 2. panta 18. punkta definīciju,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plāno tiešās un netiešās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prpojekta 24.punkta redakciju, lai nodrošinātu pasākuma ietvaros plānoto izmaksu atbilstību pasākuma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 tiešās un netiešās attiecināmās izmaksas, kas sekmē šo noteikumu 2. punktā minētā mērķa un šo noteikumu 8. punktā minēto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ievēro horizontālo principu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finansējuma saņēmējam nav jāuzkrāj dati arī par horizontālo principu “nenodarīt būtisku kaitējumu” un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uzkrāj datus par projektā plānotajiem un sasniegtajiem šo noteikumu 8.1.1., 8.1.2. un 8.2. apakšpunktā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un atsaukties uz 8.1.1., 8.2.1. un 8.3.apakšpunktiem, jo noteikumu projektā nav 8.1.2.apakšpunkta, un 8.2.apakšpunkta vietā būtu jānorāda 8.3.apakšpunkts.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uzkrāj datus par projektā plānotajiem un sasniegtajiem šo noteikumu 8.1.1., 8.2.1. un 8.3. apakšpunktā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pārskata periodā finansējuma saņēmējs reizi gadā līdz kārtējā gada 1. jūnijam iesniedz sadarbības iestādē informāciju, kas nepieciešams, lai izvērtētu, vai kultūras infrastruktūras projekts atbilst šo noteikumu 38. punktā minētajiem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38.punktā nav iekļauts nosacījums par finansējuma saņēmēja atbilstību komercdarbības atbalsta izslēgšanas nosacījumiem, proti, vai projektā tiek veikta saimnieciskā darbība, lūdzam precizēt noteikumu projektā iekļauto atsauci uz 40.1.apakšpunktu.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Atbalstītajā objektā šo noteikumu 42.1. apakšpunktā minētajā gadījumā ir pieļaujams veikt papildpakalpojumus, kuriem nebūtu ietekmes uz tirdzniecību un konkurenci Eiropas Savienības iekšējā tirgū.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noteikumu projekta 45. punktā korekti lietota atsauce uz noteikumu projekta 42.1.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11.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 Šo noteikumu ietvaros pamatdarbības peļņas definīcija atbilst Regulas Nr. 651/2014 2. panta 39.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46. punktā norādītais otrais teikums ir iekļaujams šajā normā un, vai nav jāpārvieto uz citu noteikumu projekta punktu (piemēram,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36. punktā minētās izmaksu un ieguvumu analīzes pārrēķinu un sadarbības iestādei atmaksā starpību starp faktisko un plānoto peļņu no pamatdarbības.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49. punktu ar Komisijas Regulas Nr. 651/2014 2. panta 142. punktā iekļauto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49. punktā minētās nelikumīgā komercdarbības atbalsta atgūšanas normas.  </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50.punktā iekļauto atsauci par nelikumīgā komercdarbības atbalsta atgūšanas normu, aizstājot skaitļus "49." ar skaitli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Projektam, uz kuru attiecināmi komercdarbības atbalsta kontroles nosacījumi, finansējuma saņēmējs un projekta sadarbības partneris (ja attiecināms)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47.2. apakšpunktā un 48.punktā noteiktos dokumentu glabāšanas nosacījumus, lai noteikumu projektā netiktu dublētas normas, lūdzam svītrot noteikumu projekta 53.punktu.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katram intervences laukuma kodam noteikto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01.10.2024.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01.10.2024.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