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oficiālās elektroniskās adreses ieviešanas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Tieslietu ministrijai (turpmāk - TM), sešu mēnešu laikā pēc informatīvā ziņojuma pieņemšanas, izstrādāt un tieslietu ministrei iesniegt Ministru kabinetā (turpmāk - MK) priekšlikumu ārvalstu juridisko personu un to pārstāvēttiesīgo personu datu pārvaldības īstenošanai valsts pārvaldes pakalpojumu sniegšanai ārvalstu juridiskām personām, tostarp drošas saziņas un dokumentu aprites nodrošināšanai elektroniskā vidē, kas ietver arī nekustamā īpašuma jautājumus.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6 mēnešu laikā var iesniegt nevis priekšlikumu, bet jau konkrētus grozījumus normatīvos aktos, lai atrisinātu ārvalstu juridisko personu un Latvijas iestāžu, tai skaitā pašvaldību, drošu un elektronisku saziņu un dokumentu apriti ar šīm personām valsts noteiktā kārtībā. Ministru kabinetam ir jāuzdod vienai institūcijai būt kā koordinējošai šīs problēmas risināšanā, jo tā nav tikai vienas nozares problēma.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05.07.2024. 20.53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05.07.2024. 20.53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Atzinumi_22-TA-3220.docx</dc:title>
</cp:coreProperties>
</file>

<file path=docProps/custom.xml><?xml version="1.0" encoding="utf-8"?>
<Properties xmlns="http://schemas.openxmlformats.org/officeDocument/2006/custom-properties" xmlns:vt="http://schemas.openxmlformats.org/officeDocument/2006/docPropsVTypes"/>
</file>