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projektu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projektu atbalsta 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iepriekš izteiktais priekšlikums pēc būtības nav ņemts vērā, jo nav veikti aprēķini par ietekmi uz administratīvajām izmaksām tiem komersantiem, kas kvalificējas noteikumos noteiktajiem kritērijiem. Administratīvo izmaksu aprēķins var tikt veikts, pamatojoties uz datiem un pieņēmumiem, kas izriet no līdzšinējās prakses šāda atbalsta sniegšanā. Šajā gadījumā par pamatu iesakām izmantot informāciju un datus, kas uzkrāti, piemērojot 2021. gada 4. februāra Ministru kabineta noteikumus Nr. 83 “Noteikumi par prioritāro investīciju projektu apkalpošanu”. Administratīvo izmaksu aprēķinu lūdzam veikt, ievērojot Vadlīnijas tiesību aktu ietekmes novērtēšanai un novērtējuma ziņojuma sagatavošanai vienotajā tiesību aktu izstrādes un saskaņošanas portālā un Paplašinātā standarta izmaksu modeļa metodiku (abi dokumenti pieejami šeit:  Administratīvā sloga mazināšana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22.12.2023.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22.12.2023.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