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1886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Noteikuma (grozījumu) projekta 9.2.punktu piedāvātajā redakcijā, jo lielā daļā nozaru, kuru pārstāvji ir iesnieguši pieteikumus digitālo pamatprasmju apguvei, nav tik daudz komersantu, lai nodrošinātu plānotā rādītāja sasniegšanu. Parādās risks, ka šādā gadījumā varētu tikt apdraudēta jau iesniegto projektu īstenošana un netiks noslēgti līgumi par pamatprasmju apguves projektu īstenošanu. Noteikumu projekta 9.2. punktā ietvertais uzraudzības rādītājs, ar ko turpmāk paredzēts noteikt unikālo komersantu skaitu, būtu jānosaka vismaz 2 reizes zemāks.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Noteikuma (grozījumu) projekta 9.2.punktu noteikt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uzraudzības rādītājs –  komersantu skaits, kam nodrošināta digitālo pamatprasmju apguve līdz 2025. gada 30. jūnijam – 943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uztur savu iepriekšējo (21.02.2024. pausto) iebildumu un norāda, ka piedāvātā redakcija neatbilst izziņā minētajam, ka Ekonomikas ministrija ir ņēmusi vērā attiecīgo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punkta spēkā esošā redakcija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paredz samazināt projektu vadībai pieejamo summu, nosakot, ka projekta vadības izmaksas, tai skaitā darba devēja valsts sociālās apdrošināšanas obligātās iemaksas, nepārsniedz 20% no Atveseļošanās noturības mehānisma plāna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šādas izmaiņas būtiski ietekmēs plānoto projektu vadības struktūru. Īsi pēc projektu iesniegšanas būs nepieciešami grozījumi struktūrā un jāgroza budžets, jo samazināsies projekta vadībai pieejamais finansējums, vai arī ievērojami jāpalielina asociāciju līdzfinansējums projektu vadības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līdzšinējo noteikumu redakciju un nepasliktināt situāciju organizācijām, kas uzņemas projektu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saglabāt šobrīd spēkā esošo 53.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izmaksas, tai skaitā darba devēja valsts sociālās apdrošināšanas obligātās iemaksas, nepārsniedz 20 % no kopējām projekta iesniegumā apstiprinātajām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22.03.2024.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22.03.2024.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