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23-TA-3256: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635 "Elektroenerģijas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mājsaimniecības lietotājs, kas izmanto elektroenerģijas neto uzskaites sistēmu, līdz 2025. gada 28. februārim sāk lietot elektroenerģijas neto norēķinu sistēmu, sadales sistēmas operators pēc informācijas saņemšanas no tirgotāja par vienošanās noslēgšanu ar aktīvo lietotāju par dalību elektroenerģijas neto norēķinu sistēmā mājsaimniecības lietotāja elektroenerģijas uzkrājumu izsaka finansiālā vērtībā, kas ir iepriekšējā elektroenerģijas tirdzniecības perioda, kas sākas 1. martā un beidzas nākamā gada februāra pēdējā dienā, elektroenerģijas biržas “Nord Pool AS” Latvijas tirdzniecības apgabala vidējā aritmētiskā attiecīgo mēnešu cena par megavatstundu. Mājsaimniecības elektroenerģijas uzkrājums, kas tiek izteikts finansiālā vērtībā, nepārsniedz 600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Regulatora iebildumu par aktīvā lietotāja definīciju (Noteikumu 18.</w:t>
            </w:r>
            <w:r w:rsidR="00000000" w:rsidRPr="00000000" w:rsidDel="00000000">
              <w:rPr>
                <w:vertAlign w:val="superscript"/>
                <w:rtl w:val="0"/>
              </w:rPr>
              <w:t xml:space="preserve">2</w:t>
            </w:r>
            <w:r w:rsidR="00000000" w:rsidRPr="00000000" w:rsidDel="00000000">
              <w:rPr>
                <w:rtl w:val="0"/>
              </w:rPr>
              <w:t xml:space="preserve"> punkts) un tā skaidrojumu, jāvērš uzmanība, ka likumprojektā "Grozījumi Elektroenerģijas tirgus likumā" (22-TA-1828) attiecībā uz aktīvā lietotāja definīciju vairs nav ietverts vārds "nodot", līdz ar to ir konstatējama pretruna ar Noteikumos ietverto regulējumu, saskaņā ar kuru aktīvais lietotājs ir neto norēķinu sistēmas lietotājs (kas nav tirdzniecība un nav arī kopīgošana). Ievērojot minēto, Regulators lūdz salāgot tiesisko regulējumu, precizējot likumprojektu "Grozījumi Elektroenerģijas tirgus likumā" (22-TA-1828), ņemot vērā, ka šobrīd Elektroenerģijas tirgus likuma 1.panta otrās daļas 3.</w:t>
            </w:r>
            <w:r w:rsidR="00000000" w:rsidRPr="00000000" w:rsidDel="00000000">
              <w:rPr>
                <w:vertAlign w:val="superscript"/>
                <w:rtl w:val="0"/>
              </w:rPr>
              <w:t xml:space="preserve">1</w:t>
            </w:r>
            <w:r w:rsidR="00000000" w:rsidRPr="00000000" w:rsidDel="00000000">
              <w:rPr>
                <w:rtl w:val="0"/>
              </w:rPr>
              <w:t xml:space="preserve">punkts paredz, ka aktīvais lietotājs ir galalietotājs, kurš pašražoto elektroenerģiju izmanto aktīvā lietotāja pašpatēriņam un uzreiz nepatērēto elektroenerģiju (pārpalikumu) var </w:t>
            </w:r>
            <w:r w:rsidR="00000000" w:rsidRPr="00000000" w:rsidDel="00000000">
              <w:rPr>
                <w:u w:val="single"/>
                <w:rtl w:val="0"/>
              </w:rPr>
              <w:t xml:space="preserve">nodot vai pārdot</w:t>
            </w:r>
            <w:r w:rsidR="00000000" w:rsidRPr="00000000" w:rsidDel="00000000">
              <w:rPr>
                <w:rtl w:val="0"/>
              </w:rPr>
              <w:t xml:space="preserve"> elektroenerģijas tirgotājam vai izmantot dalībai elastības vai energoefektivitātes shēmās, savukārt minētajā likumprojektā (22-TA-1828) ir ietverta definīcija, saskaņā ar kuru aktīvais lietotājs ir galalietotājs, kurš ražo elektroenerģiju savām vajadzībām un var saražotās elektroenerģijas pārpalikumu </w:t>
            </w:r>
            <w:r w:rsidR="00000000" w:rsidRPr="00000000" w:rsidDel="00000000">
              <w:rPr>
                <w:u w:val="single"/>
                <w:rtl w:val="0"/>
              </w:rPr>
              <w:t xml:space="preserve">pārdot vai kopīgot</w:t>
            </w:r>
            <w:r w:rsidR="00000000" w:rsidRPr="00000000" w:rsidDel="00000000">
              <w:rPr>
                <w:rtl w:val="0"/>
              </w:rPr>
              <w:t xml:space="preserve">, iesaistīties elastības pakalpojumos vai energoefektivitātes shēmās. Aktīvais lietotājs nav energoapgādes komersants.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22</w:t>
            </w:r>
            <w:r w:rsidR="00000000" w:rsidRPr="00000000" w:rsidDel="00000000">
              <w:rPr>
                <w:rtl w:val="0"/>
              </w:rPr>
              <w:t xml:space="preserve"> Aktīvais lietotājs vai tirgotājs nav tiesīgs pieprasīt veikt izmaiņas pieteiktajos un izpildītajos paziņojumos par saražotās elektroenerģijas nodošanu elektrotīklā iepriekšējā norēķinu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atstāta iepriekšējā reakcijā Noteikumu 18.</w:t>
            </w:r>
            <w:r w:rsidR="00000000" w:rsidRPr="00000000" w:rsidDel="00000000">
              <w:rPr>
                <w:vertAlign w:val="superscript"/>
                <w:rtl w:val="0"/>
              </w:rPr>
              <w:t xml:space="preserve">22</w:t>
            </w:r>
            <w:r w:rsidR="00000000" w:rsidRPr="00000000" w:rsidDel="00000000">
              <w:rPr>
                <w:rtl w:val="0"/>
              </w:rPr>
              <w:t xml:space="preserve"> punkta norma, kas noteic, ka aktīvais lietotājs vai tirgotājs nav tiesīgs pieprasīt veikt izmaiņas pieteiktajos un izpildītajos paziņojumos par saražotās elektroenerģijas nodošanu elektrotīklā iepriekšējā norēķinu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normas mērķis ir noteikt, ka neto norēķinu sistēmas lietotājs nevar atsaukt tā saražotās elektroenerģijas iepircēju, kas ir atšķirīga pieeja no tās, kas ir paredzēta tirgotāja izvēles gadījumā. Tirgotāja maiņas process nav automātiski saistīts ar saražotās elektroenerģijas nodošanu attiecīgajam tirgotājam. Tomēr norādām, ka norma, Regulatora ieskatā, nav īpaši veiksmīga, jo no tās joprojām nav saprotams, kas tie ir par paziņojumiem. Jāuzsver, ka tie nav Noteikumos definēti un no Noteikumiem neizriet, ka kādai personai (lietotājam, tirgotājam vai sadales sistēmas operatoram) tādi paziņojumi (par saražotās elektroenerģijas nodošanu elektrotīklā iepriekšējā norēķinu periodā) ir jāveic. Sistēmiski vērtējot, ar šo normu varētu būt saistīts Noteikumu 12.</w:t>
            </w:r>
            <w:r w:rsidR="00000000" w:rsidRPr="00000000" w:rsidDel="00000000">
              <w:rPr>
                <w:vertAlign w:val="superscript"/>
                <w:rtl w:val="0"/>
              </w:rPr>
              <w:t xml:space="preserve">1 </w:t>
            </w:r>
            <w:r w:rsidR="00000000" w:rsidRPr="00000000" w:rsidDel="00000000">
              <w:rPr>
                <w:rtl w:val="0"/>
              </w:rPr>
              <w:t xml:space="preserve">punkts, kas noteic, ka sadales sistēmas operators desmit darbadienu laikā pēc iepriekšējā mēneša beigām nodrošina tirgotājam elektroenerģijas komercuzskaites datus par iepriekšējā mēnesī par lietotāja esošajos objektos sadales sistēmas operatora elektrotīklā nodoto un no elektrotīkla saņemto elektroenerģijas apjomu katrā tirdzniecības intervālā. Taču arī šajā punktā nav minēts jēdziens “paziņojums”, līdz ar to no Noteikumu teksta nav skaidrs, kas izdod un kas – izpilda Noteikumu 18.</w:t>
            </w:r>
            <w:r w:rsidR="00000000" w:rsidRPr="00000000" w:rsidDel="00000000">
              <w:rPr>
                <w:vertAlign w:val="superscript"/>
                <w:rtl w:val="0"/>
              </w:rPr>
              <w:t xml:space="preserve">22</w:t>
            </w:r>
            <w:r w:rsidR="00000000" w:rsidRPr="00000000" w:rsidDel="00000000">
              <w:rPr>
                <w:rtl w:val="0"/>
              </w:rPr>
              <w:t xml:space="preserve"> punktā minētos paziņojumus. Jāuzsver, ka no Noteikumu 18.</w:t>
            </w:r>
            <w:r w:rsidR="00000000" w:rsidRPr="00000000" w:rsidDel="00000000">
              <w:rPr>
                <w:vertAlign w:val="superscript"/>
                <w:rtl w:val="0"/>
              </w:rPr>
              <w:t xml:space="preserve">22 </w:t>
            </w:r>
            <w:r w:rsidR="00000000" w:rsidRPr="00000000" w:rsidDel="00000000">
              <w:rPr>
                <w:rtl w:val="0"/>
              </w:rPr>
              <w:t xml:space="preserve">punkta izriet vienīgi tas, ka lietotājs vai tirgotājs nav tiesīgi šajos paziņojumos veikt izmaiņas. Ievērojot minēto, Regulators aicina minēto normu precizēt, lai sasniegtu anotācijā norādīto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23-TA-3256</w:t>
    </w:r>
    <w:r>
      <w:br/>
    </w:r>
    <w:r w:rsidR="00000000" w:rsidRPr="00000000" w:rsidDel="00000000">
      <w:rPr>
        <w:rtl w:val="0"/>
      </w:rPr>
      <w:t xml:space="preserve">Izdrukāts 23.01.2024.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23-TA-3256</w:t>
    </w:r>
    <w:r>
      <w:br/>
    </w:r>
    <w:r w:rsidR="00000000" w:rsidRPr="00000000" w:rsidDel="00000000">
      <w:rPr>
        <w:rtl w:val="0"/>
      </w:rPr>
      <w:t xml:space="preserve">Izdrukāts 23.01.2024.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Atzinumi_23-TA-3256.docx</dc:title>
</cp:coreProperties>
</file>

<file path=docProps/custom.xml><?xml version="1.0" encoding="utf-8"?>
<Properties xmlns="http://schemas.openxmlformats.org/officeDocument/2006/custom-properties" xmlns:vt="http://schemas.openxmlformats.org/officeDocument/2006/docPropsVTypes"/>
</file>