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25-TA-409: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rezultāti)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enerģijas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2.</w:t>
            </w:r>
            <w:r w:rsidR="00000000" w:rsidRPr="00000000" w:rsidDel="00000000">
              <w:rPr>
                <w:vertAlign w:val="superscript"/>
                <w:rtl w:val="0"/>
              </w:rPr>
              <w:t xml:space="preserve">8</w:t>
            </w:r>
            <w:r w:rsidR="00000000" w:rsidRPr="00000000" w:rsidDel="00000000">
              <w:rPr>
                <w:rtl w:val="0"/>
              </w:rPr>
              <w:t xml:space="preserve"> un 2.</w:t>
            </w:r>
            <w:r w:rsidR="00000000" w:rsidRPr="00000000" w:rsidDel="00000000">
              <w:rPr>
                <w:vertAlign w:val="superscript"/>
                <w:rtl w:val="0"/>
              </w:rPr>
              <w:t xml:space="preserve">9</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VEA apzinās un piekrīt nepieciešamībai veicināt elektroenerģijas pārvades sistēmu savietojamību Eiropas Savienībā un rast iespēju pārrobežu projektu iekārtas pieslēgt Latvijas elektroenerģijas sistēmai. Tomēr vēlamies norādīt, ka elektroenerģijas sistēmas jauda Latvijas teritorijā ir ierobežota un iespējas tai piekļūt ir bijušas par pamatu elastīgā sistēmas pakalpojuma ieviešanai. Lai ieviestu Eiropas Savienības normatīvā regulējuma prasības, kā arī vienlaikus ievērotu vietējo elektroenerģijas ražotāju būtiskās intereses, pārrobežu iekārtu pieslēgšanu aicinām pamatot ar attiecīgā projekta piesaisti Latvijas teritorijai, proti, ieviest atrunu, ka attiecīgais regulējums ir piemērojams, ja vismaz lielākā daļa attiecīgā projekta ražošanas jaudas atrodas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VEA piedāvā ETL 9. panta 2</w:t>
            </w:r>
            <w:r w:rsidR="00000000" w:rsidRPr="00000000" w:rsidDel="00000000">
              <w:rPr>
                <w:vertAlign w:val="superscript"/>
                <w:rtl w:val="0"/>
              </w:rPr>
              <w:t xml:space="preserve">8</w:t>
            </w:r>
            <w:r w:rsidR="00000000" w:rsidRPr="00000000" w:rsidDel="00000000">
              <w:rPr>
                <w:rtl w:val="0"/>
              </w:rPr>
              <w:t xml:space="preserve">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operators pieslēdz pārrobežu iekārtu sistēmai, ja ne mazāk kā puse no elektroenerģijas ražošanas iekārtu kopējās jaudas ir izvietota Latvijas Republikas teritorijā, un elektroenerģijas ražotājs ir iesniedzis sistēmas operatoram citas Eiropas Savienības dalībvalsts atbildīgās institūcijas atzinumu par elektroenerģijas ražošanas iekārtas ieviešanas atbilstību attiecīgās valsts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Duka-Gulbe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29.</w:t>
            </w:r>
            <w:r w:rsidR="00000000" w:rsidRPr="00000000" w:rsidDel="00000000">
              <w:rPr>
                <w:vertAlign w:val="superscript"/>
                <w:rtl w:val="0"/>
              </w:rPr>
              <w:t xml:space="preserve">7</w:t>
            </w:r>
            <w:r w:rsidR="00000000" w:rsidRPr="00000000" w:rsidDel="00000000">
              <w:rPr>
                <w:rtl w:val="0"/>
              </w:rPr>
              <w:t xml:space="preserve"> panta pirmās daļas 2. punktu pēc vārdiem "elektroenerģijas ražošanas iekārtas" ar vārdiem "tajā skaitā pārrobežu iekārtas".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Duka-Gulbe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31.</w:t>
            </w:r>
            <w:r w:rsidR="00000000" w:rsidRPr="00000000" w:rsidDel="00000000">
              <w:rPr>
                <w:vertAlign w:val="superscript"/>
                <w:rtl w:val="0"/>
              </w:rPr>
              <w:t xml:space="preserve">8</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ierosināts papildināt ETL ar 31.</w:t>
            </w:r>
            <w:r w:rsidR="00000000" w:rsidRPr="00000000" w:rsidDel="00000000">
              <w:rPr>
                <w:vertAlign w:val="superscript"/>
                <w:rtl w:val="0"/>
              </w:rPr>
              <w:t xml:space="preserve">8</w:t>
            </w:r>
            <w:r w:rsidR="00000000" w:rsidRPr="00000000" w:rsidDel="00000000">
              <w:rPr>
                <w:rtl w:val="0"/>
              </w:rPr>
              <w:t xml:space="preserve"> pantu, kas regulētu atjaunīgās elektroenerģijas ražošanas iekārtu un elektroenerģijas uzkrātuvju demontāžas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VEA norāda, ka šāda Grozījumu redakcija veido dubultu regulējumu attiecībā uz elektroenerģijas ražošanas iekārtu kā būvju demontāžu, ņemot vērā Būvniecības likumā un saistītajos būvniecības nozares normatīvajos aktos ietvertos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Paralēla regulējuma izveide uzliks pienākumu likumdevējam uzturēt un aktualizēt divas atsevišķas regulējuma grupas, radot lieku likumdošanas slogu un pamatu interpretācijai tiesību normu kolīziju gadījumos. Turklāt vēršam uzmanību, ka būtiska daļa jautājumu, kas skar elektroenerģijas ražošanas iekārtu un uzkrātuvju demontāžu, praksē tiek risināti privāttiesiskā kārtībā, attiecīgajos līgumos ar zemes īpašniekiem paredzot katrai situācijai piemērotāko rīcību un sniedzot iespēju nepieciešamības gadījumā vienoties par alternatīviem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VEA iesaka atteikties no demontāžas jautājumu iekļaušanas ETL noteikumos un aicina tos turpināt risināt esošā būvniecības regulējuma un privāttiesisko attiecību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Duka-Gulbe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25-TA-409</w:t>
    </w:r>
    <w:r>
      <w:br/>
    </w:r>
    <w:r w:rsidR="00000000" w:rsidRPr="00000000" w:rsidDel="00000000">
      <w:rPr>
        <w:rtl w:val="0"/>
      </w:rPr>
      <w:t xml:space="preserve">Izdrukāts 07.07.2025.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25-TA-409</w:t>
    </w:r>
    <w:r>
      <w:br/>
    </w:r>
    <w:r w:rsidR="00000000" w:rsidRPr="00000000" w:rsidDel="00000000">
      <w:rPr>
        <w:rtl w:val="0"/>
      </w:rPr>
      <w:t xml:space="preserve">Izdrukāts 07.07.2025.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Atzinumi_25-TA-409.docx</dc:title>
</cp:coreProperties>
</file>

<file path=docProps/custom.xml><?xml version="1.0" encoding="utf-8"?>
<Properties xmlns="http://schemas.openxmlformats.org/officeDocument/2006/custom-properties" xmlns:vt="http://schemas.openxmlformats.org/officeDocument/2006/docPropsVTypes"/>
</file>