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25-TA-2104: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Alternatīvo ieguldījumu fondu un to pārvaldnieku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pants. "5) kas paredzēta normatīvajos aktos nodokļu jomā.";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izvērtēt, vai ar paredzēto grozījumu 85. panta otrajā daļā (proti, tās papildināšanu ar 5. punktu) tiek pilnībā un korekti pārņemtas ar Eiropas Parlamenta un Padomes 2024. gada 13. marta direktīvas (ES) 2024/927, ar ko direktīvas 2011/61/ES un 2009/65/EK groza attiecībā uz vienošanos par deleģēšanu, likviditātes riska pārvaldību, uzraudzības pārskatu sniegšanu, depozitāriju un turētājbanku pakalpojumu sniegšanu un aizdevumu izsniegšanu, ko veic alternatīvo ieguldījumu fondi (turpmāk - Direktīva 2024/927) 21. panta "a" un "b" punktu aizstātā Direktīvas 2011/61/ES 47. panta 2. un 3. punkta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Konkrētāk, pirmkārt, aicinām izvērtēt un skaidrot, uz kādu informāciju 85. panta otrajā daļā ir norādīts. No likumprojekta un anotācijas netop viennozīmīgi skaidrs, vai izņēmums attiecas uz jebkuru informāciju, kas paredzēta normatīvajos aktos nodokļu jomā, tostarp, ja, piemēram, normatīvajos aktos nodokļu jomā attiecīgai informācijai būs noteikts ierobežotas pieejamības statuss arī atbilstoši Informācijas atklātības likuma 5. panta otrās daļas 1. punktam. Ja izvērtējuma rezultātā tiek secināts, ka pašreiz norma formulēta pārāk plaši, aicinām precizēt likumprojektu. Alternatīvi aicinām sniegt izvērstāku skaidrojumu anotācijā par izņēmuma tvērumu (skat. salīdzinājumam direktīvā izmantotos formulējumus: "[..] neizpauž citai personai vai iestādei, </w:t>
            </w:r>
            <w:r w:rsidR="00000000" w:rsidRPr="00000000" w:rsidDel="00000000">
              <w:rPr>
                <w:u w:val="single"/>
                <w:rtl w:val="0"/>
              </w:rPr>
              <w:t xml:space="preserve">ja vien šāda izpaušana</w:t>
            </w:r>
            <w:r w:rsidR="00000000" w:rsidRPr="00000000" w:rsidDel="00000000">
              <w:rPr>
                <w:rtl w:val="0"/>
              </w:rPr>
              <w:t xml:space="preserve"> nav nepieciešama tiesvedībai vai </w:t>
            </w:r>
            <w:r w:rsidR="00000000" w:rsidRPr="00000000" w:rsidDel="00000000">
              <w:rPr>
                <w:u w:val="single"/>
                <w:rtl w:val="0"/>
              </w:rPr>
              <w:t xml:space="preserve">uz to neattiecas nodokļu tiesību aktos minētie gadījumi.</w:t>
            </w:r>
            <w:r w:rsidR="00000000" w:rsidRPr="00000000" w:rsidDel="00000000">
              <w:rPr>
                <w:rtl w:val="0"/>
              </w:rPr>
              <w:t xml:space="preserve">" (angļu valodā: "</w:t>
            </w:r>
            <w:r w:rsidR="00000000" w:rsidRPr="00000000" w:rsidDel="00000000">
              <w:rPr>
                <w:i w:val="1"/>
                <w:rtl w:val="0"/>
              </w:rPr>
              <w:t xml:space="preserve">(..) shall not be disclosed to another person or authority </w:t>
            </w:r>
            <w:r w:rsidR="00000000" w:rsidRPr="00000000" w:rsidDel="00000000">
              <w:rPr>
                <w:i w:val="1"/>
                <w:u w:val="single"/>
                <w:rtl w:val="0"/>
              </w:rPr>
              <w:t xml:space="preserve">except where such disclosure is necessary</w:t>
            </w:r>
            <w:r w:rsidR="00000000" w:rsidRPr="00000000" w:rsidDel="00000000">
              <w:rPr>
                <w:i w:val="1"/>
                <w:rtl w:val="0"/>
              </w:rPr>
              <w:t xml:space="preserve"> for legal proceedings </w:t>
            </w:r>
            <w:r w:rsidR="00000000" w:rsidRPr="00000000" w:rsidDel="00000000">
              <w:rPr>
                <w:i w:val="1"/>
                <w:u w:val="single"/>
                <w:rtl w:val="0"/>
              </w:rPr>
              <w:t xml:space="preserve">or for cases covered by taxation law</w:t>
            </w:r>
            <w:r w:rsidR="00000000" w:rsidRPr="00000000" w:rsidDel="00000000">
              <w:rPr>
                <w:u w:val="single"/>
                <w:rtl w:val="0"/>
              </w:rPr>
              <w:t xml:space="preserve">.</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atkārtoti aicinām izvērtēt un sniegt skaidrojumu, kā tieši Alternatīvo ieguldījumu fondu un to pārvaldnieku likuma (turpmāk - likums) spēkā esošajā redakcijā un likumprojektā ir pārņemtas citas izmaiņas Direktīvas 2011/61/ES 47. panta 2. un 3. punktā, piemēram, jaunā redakcijā izteiktā Direktīvas 2011/61/ES 47. panta 3. punkta pirmās daļas "c" apakšpunkts (sk. arī direktīvas preambulas 44. punktu). Proti, atkārtoti aicinām izvērtēt, vai prasības pilnībā un korekti ir jau pārņemtas likuma spēkā esošajā redakcijā, un lūdzam sniegt skaidrojumu vai, ja nepieciešams, precizēt likumprojektu.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skaidrojumu par likumprojektā paredzētajām izmaiņām likumā saistībā ar Direktīvas 2024/927 1. panta 7. punkta "b" apakšpunktā paredzētās rīcības brīvības izmantošanu ietvert arī anotācijas 1.3. apakšsadaļā.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likumprojekta aktuālo redakciju (piemēram, attiecībā uz likuma 10. panta sestās daļas izmaiņām) aicinām pārskatīt tabulu, nodrošinot korektu informāciju par to, kurā likumprojekta (likuma) vienībā pārņemta attiecīgā direktīvas vienība.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25-TA-2104</w:t>
    </w:r>
    <w:r>
      <w:br/>
    </w:r>
    <w:r w:rsidR="00000000" w:rsidRPr="00000000" w:rsidDel="00000000">
      <w:rPr>
        <w:rtl w:val="0"/>
      </w:rPr>
      <w:t xml:space="preserve">Izdrukāts 07.04.2026. 14.22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25-TA-2104</w:t>
    </w:r>
    <w:r>
      <w:br/>
    </w:r>
    <w:r w:rsidR="00000000" w:rsidRPr="00000000" w:rsidDel="00000000">
      <w:rPr>
        <w:rtl w:val="0"/>
      </w:rPr>
      <w:t xml:space="preserve">Izdrukāts 07.04.2026. 14.22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Atzinumi_25-TA-2104.docx</dc:title>
</cp:coreProperties>
</file>

<file path=docProps/custom.xml><?xml version="1.0" encoding="utf-8"?>
<Properties xmlns="http://schemas.openxmlformats.org/officeDocument/2006/custom-properties" xmlns:vt="http://schemas.openxmlformats.org/officeDocument/2006/docPropsVTypes"/>
</file>