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Subjekts, kura īpašumā vai valdījumā esošās informācijas sistēmas vai to daļas,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tiek uzturētas datu centrā, kas saskaņā ar šo noteikumu </w:t>
            </w:r>
            <w:r w:rsidR="00000000" w:rsidRPr="00000000" w:rsidDel="00000000">
              <w:rPr>
                <w:rtl w:val="0"/>
              </w:rPr>
              <w:t xml:space="preserve">23. </w:t>
            </w:r>
            <w:r w:rsidR="00000000" w:rsidRPr="00000000" w:rsidDel="00000000">
              <w:rPr>
                <w:rtl w:val="0"/>
              </w:rPr>
              <w:t xml:space="preserve">punktu</w:t>
            </w:r>
            <w:r w:rsidR="00000000" w:rsidRPr="00000000" w:rsidDel="00000000">
              <w:rPr>
                <w:rtl w:val="0"/>
              </w:rPr>
              <w:t xml:space="preserve"> ir izslēgts no Drošo datu centru reģistra, divpadsmit mēnešu laikā nodrošina šo informācijas sistēmu pārcelšanu uz Drošo datu centru vai savu IKT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izvirzītās drošības prasības ir resursu ietilpīgas (t.i. gan finansiāli, gan cilvēkresursu, gan administratīvi) un atbilstošai prasību ieviešanai LAD esošajā datu centrā pārāk īss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plānošanas dēļ, var tikt kavēta šo prasību ieviešana un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Mālere (LAD)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Datu centru operators divpadsmit mēnešu laikā no šo noteikumu </w:t>
            </w:r>
            <w:r w:rsidR="00000000" w:rsidRPr="00000000" w:rsidDel="00000000">
              <w:rPr>
                <w:rtl w:val="0"/>
              </w:rPr>
              <w:t xml:space="preserve">39.</w:t>
            </w:r>
            <w:r w:rsidR="00000000" w:rsidRPr="00000000" w:rsidDel="00000000">
              <w:rPr>
                <w:rtl w:val="0"/>
              </w:rPr>
              <w:t xml:space="preserve"> punktā minētās informācijas saņemšanas dienas nodrošina datu centru reģistrēšanu Drošo datu centru reģistrā, ja tajos tiek uzturētas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noteiktajiem kritērijiem atbilstošās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esošie datu centru pakalpojumu sniedzēji (LVRTC, IeM IC, LNB un LAD), kuri pamatojoties uz VARAM informatīvo ziņojumu (22-TA-3764) "Par valsts datu apstrādes mākoņa attīstības plānu" realizē Eiropas Savienības Atveseļošanas un noturības mehānisma (turpmāk - ANM) plāna investīcijas 2.1.2.2.i. “Latvijas nacionālais federētais mākonis” projektus (turpmāk - ANM projekti) par Valsts datu apstrādes mākoņa ieviešanu, un, kas pie sevis izmitina publiskā sektora Valsts informācijas sistēmas, līdz šim nav tikuši vērtēti atbilstoši 3.pielikumā noteiktajiem standartiem, ņemot vērā sarežģītās un resursietilpīgās prasības, kur uzliek minēto standartu ieviešana, uzskatām, ka pastāv liels risks, ka var tikt apdraudēta ANM projektu realizācija, rezultātu uzturēšana un tālākā datu centru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papildus laiks un esošo datu centru izvērtēšana ar mērķi ieviest 3.pielikumā minēto standartu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vārda "izvietošana"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sistēmu izvietošanu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subjektiem, kas uztur savā īpašumā vai valdījumā esošās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nebūtu nepieciešamas saskaņot terminoloģiju ar Valsts informācijas sistēmu likumu, kuru šobrīd izmanto valsts pārvaldes iestādes, lai viennozīmīgi un nepārprotami nodalītu atbildību par informācijas sistēmu piederību un atbildības sadalījumu to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noteikuma projekta punkta ar vārdu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īpašumā,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08.04.2025.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08.04.2025.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