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Finansējuma saņēmējs izvērtē gala labuma guvējus atbilstoši Eiropas Parlamenta un Padomes 2018. gada 18. jūlija Regula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 2018/1046) 136. pantā noteiktajiem izslēgšanas kritērijiem. Uz komersantu nav attiecināms jebkurš no šādiem gadījumiem: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67.punkta izriet, ka finansējuma saņēmējam jāpārbauda,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komersants vai persona, kura ir komersanta valdes vai padomes loceklis vai prokūrists, vai persona, kura ir pilnvarota pārstāvēt komersantu ar filiāli saistītās darbībās, nav sodīta par projekta 67.1.apakšpunktā norādītajiem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komersants nav sodīts par projekta 67.2.apakšpunktā norādītajiem noziedzīgiem nodarījumiem un administratīvajiem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un projekta sākotnējās ietekmes (ex-ante) novērtējuma ziņojumā (anotācijā) (turpmāk – anotācija) nav norādīts, no kāda informācijas avota finansējuma saņēmējs saņems minēto informāciju par komersanta vai personas, kura ir komersanta valdes vai padomes loceklis vai prokūrists, vai personas, kura ir pilnvarota pārstāvēt komersantu ar filiāli saistītās darbībās, iespējamo sodāmību un nav norādīts informācijas saņemšanas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normai ir jābūt skaidrai un saprotamai, lai tās lietotājs un piemērotājs gūtu nepārprotamu priekšstatu par savām tiesībām, pienākumiem un juridiskām sekām, precizēt projektu vai projekta anotāciju, norādot projekta 67.1. un 67.2.apakšpunktā ietvertās informācijas avotu un tās saņemšanas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67.2.2. personas nodarbināšana bez rakstveidā noslēgta darba līguma, nodokļu normatīvajos aktos noteiktajā termiņā neiesniedzot par šo personu informatīvo deklarāciju par darbiniekiem, kas iesniedzama par personām, kuras uzsāk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tiesiskās noteiktības principa izriet prasība, ka tiesību normai, kas nosaka personas pamattiesību ierobežojumus, jābūt skaidrai un pēc iespējas precīzai (sk. Satversmes tiesas 2010.gada 20.decembra sprieduma lietā Nr. 2010-44-01 11.punktu). Tiesību normas izdevēja pienākums ir rūpēties par to, lai tiesību norma tiktu formulēta tik nepārprotami, ka to varētu pareizi interpretēt un piemērot, bet indivīds varētu apzināties tās piemērošanas tiesiskās sekas (sk. Satversmes tiesas 2010.gada 19.jūnija sprieduma lietā Nr. 2010-02-01 9.4.2.punktu un 2011.gada 11.maija sprieduma lietā Nr. 2010-55-0106 13.1.punktu).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projekta 67.2.2.apakšpunktā ir ietverti divi dažādi administratīvie pārkāpumi (Darba likuma 158. pants un likuma "Par nodokļiem un nodevām" 142. panta otrā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noteiktību, precizēt projekta 67.2.2.apakšpunktu, nodalot attiecīgos pārkāpumus divās atsevišķās normās.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67.1.2. kukuļņemšana, kukuļdošana, kukuļa piesavināšanās, starpniecība kukuļošanā, neatļauta labuma pieņemšana vai komerciāla uzpirkšana, prettiesiska labuma pieprasīšana, pieņemšana vai došana, tirgošanās ar ietekmi;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326.</w:t>
            </w:r>
            <w:r w:rsidR="00000000" w:rsidRPr="00000000" w:rsidDel="00000000">
              <w:rPr>
                <w:vertAlign w:val="superscript"/>
                <w:rtl w:val="0"/>
              </w:rPr>
              <w:t xml:space="preserve">2</w:t>
            </w:r>
            <w:r w:rsidR="00000000" w:rsidRPr="00000000" w:rsidDel="00000000">
              <w:rPr>
                <w:rtl w:val="0"/>
              </w:rPr>
              <w:t xml:space="preserve"> un 326.</w:t>
            </w:r>
            <w:r w:rsidR="00000000" w:rsidRPr="00000000" w:rsidDel="00000000">
              <w:rPr>
                <w:vertAlign w:val="superscript"/>
                <w:rtl w:val="0"/>
              </w:rPr>
              <w:t xml:space="preserve">3</w:t>
            </w:r>
            <w:r w:rsidR="00000000" w:rsidRPr="00000000" w:rsidDel="00000000">
              <w:rPr>
                <w:rtl w:val="0"/>
              </w:rPr>
              <w:t xml:space="preserve">.panta nosaukumā norādīto, aizstāt projekta 67.1.2.apakšpunktā vārdus "prettiesiska labuma pieprasīšana" ar vārdiem "prettiesiska labumu pieprasīšana".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67.1.2. kukuļņemšana, kukuļdošana, kukuļa piesavināšanās, starpniecība kukuļošanā, neatļauta labuma pieņemšana vai komerciāla uzpirkšana, prettiesiska labuma pieprasīšana, pieņemšana vai došana, tirgošanās ar ietekmi;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198.panta nosaukumā norādīto, aizstāt projekta 67.1.2.apakšpunktā vārdus "neatļauta labuma pieņemšana" ar vārdiem "neatļauta labumu pieņemšana".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67.1.5. terorisms, terorisma finansēšana, teroristu grupas izveide vai organizēšana, ceļošana terorisma nolūkā, terorisma attaisnošana, aicinājums uz terorismu, terorisma draudi vai personas vervēšana un apmācība terora aktu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79.</w:t>
            </w:r>
            <w:r w:rsidR="00000000" w:rsidRPr="00000000" w:rsidDel="00000000">
              <w:rPr>
                <w:vertAlign w:val="superscript"/>
                <w:rtl w:val="0"/>
              </w:rPr>
              <w:t xml:space="preserve">4</w:t>
            </w:r>
            <w:r w:rsidR="00000000" w:rsidRPr="00000000" w:rsidDel="00000000">
              <w:rPr>
                <w:rtl w:val="0"/>
              </w:rPr>
              <w:t xml:space="preserve">.panta nosaukumā norādīto, aizstāt projekta 67.1.5.apakšpunktā vārdus "personas vervēšana un apmācība terora aktu veikšanai" ar vārdiem "personas vervēšana, apmācīšana un apmācīšanās terorismam".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17.02.2023. 20.30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17.02.2023. 20.30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Atzinumi_22-TA-1353.docx</dc:title>
</cp:coreProperties>
</file>

<file path=docProps/custom.xml><?xml version="1.0" encoding="utf-8"?>
<Properties xmlns="http://schemas.openxmlformats.org/officeDocument/2006/custom-properties" xmlns:vt="http://schemas.openxmlformats.org/officeDocument/2006/docPropsVTypes"/>
</file>