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22-TA-3293: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2.1.2.1.i "Pārvaldes centralizētās platformas un sistēmas" projekta "Mācīšanās un attīstības sistēmas ieviešana" pases un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2.1.2.1.i "Pārvaldes centralizētās platformas un sistēmas" projekta "Mācīšanās un attīstības sistēmas ieviešana" pases un koplietošanas pakalpojuma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finansējuma piešķiršanu Valsts administrācijas skolai mācīšanās un attīstības sistēmas izveidei, kas nodrošinās vairāku līmeņu (valsts pārvaldes, resursu, iestāžu, profesionālo grupu) mācību platformu darbinieku prasmju pilnveidošanai un kompetenču attīstīšanai.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Eiropas Komisijas paziņojuma par Līguma par Eiropas Savienības darbību 107. panta 1. punktā minēto valsts atbalsta jēdzienu (2016/C 262/01) (turpmāk - EK paziņojums) 8.punktā noteiktajam, subjekta tiesiskais statuss saskaņā ar valsts tiesību aktiem nav noteicošs, vienīgais būtiskais kritērijs ir tas, vai subjekts veic saimniecisko darbību (piedāvā tirgū preces un pakalpojumus), lai  tas Līguma 107. panta 1. punkta nozīmē būtu uzskatāms par uzņēmumu. EK paziņojumā arī uzsvērts, ka šis nosacījums attiecināms arī uz subjektu, kas oficiāli pieder pie valsts pārvaldes. No publiski pieejamās informācijas finansējuma saņēmēja "Valsts administrācijas skola" tīmekļa vietnē secināms, ka tas nodrošina apmācību pakalpojumus, t.sk. iekasējot par tiem samaksu - attiecīgi varētu pirmšķietami secināt, ka VAS piedāvā pakalpojumus tirgū. Ņemot vērā, ka apmācību pakalpojumus sniedz arī citi subjekti tirgū, finansējuma saņēmējs būtu attiecīgi kvalificējams kā saimnieciskās darbības veicējs un tālāk jau finansējuma piešķiršana konkrētajām aktivitātēm būtu jāizvērtē Komercdarbības atbalsta kontroles likuma 5.pantā minēto komercdarbības atbalstu raksturojošo pazīmju kontekstā (ja tiek konstatēta to vienlaicīga izpildīšanās, būtu jāpiemēro atbilstoša komercdarbības atbalsta kontroles regulējuma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621 "Eiropas Savienības Atveseļošanas un noturības mehānisma plāna īstenošanas un uzraudzības kārtība" 10.3. punktu, finansējuma saņēmējs nodrošina Atveseļošanas fonda plāna īstenošanas ietvaros piešķirtā finansējuma izlietošanu atbilstoši nosacījumiem un termiņiem, tai skaitā nodrošina komercdarbības atbalsta nosacījumu ievērošanu (ja attiecināms), kā arī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13.9.3. un 27. punktu finansējuma saņēmējam ir pienākums izvērtēt un nodrošināt to, ka pasākuma ietvaros netiek sniegts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minētos nosacījumus, kas ietverti attiecīgajos normatīvajos aktos, lūdzam papildināt investīcijas projekta pasi pie “Cita būtiska informācija” ar informāciju, kas ļauj secināt, kādēļ projekta ietvaros komercdarbības atbalsts netiek sniegts. Vienlaikus ar šo informāciju lūdzam papildināt arī Ministru kabineta rīkojuma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2026. gadā ne vairāk kā 189 728 </w:t>
            </w:r>
            <w:r w:rsidR="00000000" w:rsidRPr="00000000" w:rsidDel="00000000">
              <w:rPr>
                <w:i w:val="1"/>
                <w:rtl w:val="0"/>
              </w:rPr>
              <w:t xml:space="preserve">euro </w:t>
            </w:r>
            <w:r w:rsidR="00000000" w:rsidRPr="00000000" w:rsidDel="00000000">
              <w:rPr>
                <w:rtl w:val="0"/>
              </w:rPr>
              <w:t xml:space="preserve">un turpmāk ik gadu ne vairāk kā 325 248 </w:t>
            </w:r>
            <w:r w:rsidR="00000000" w:rsidRPr="00000000" w:rsidDel="00000000">
              <w:rPr>
                <w:i w:val="1"/>
                <w:rtl w:val="0"/>
              </w:rPr>
              <w:t xml:space="preserve">euro</w:t>
            </w:r>
            <w:r w:rsidR="00000000" w:rsidRPr="00000000" w:rsidDel="00000000">
              <w:rPr>
                <w:rtl w:val="0"/>
              </w:rPr>
              <w:t xml:space="preserve">. Valsts kancelejai projekta rezultātu uzturēšanas izmaksu finansējumu pieprasīt papildus normatīvajos aktos noteiktajā kārtībā.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faktiski nepieciešamais uzturēšanas izmaksu apmērs būs zināms tikai pēc projekta pabeigšanas 2026.gadā un Valsts kanceleja finansējumu varēs pieprasīt normatīvajos aktos noteiktā kārtībā, uzskatām, ka rīkojuma projektā nav jāiekļauj punkts par uzturēšanas izmaksu apmēru un pieprasīšanu, līdz ar to rīkojuma projekta 5.punkts būtu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svītrot informāciju par uzturēšanas izmaksām, vienlaikus sadaļā ”Cita informācija” norādot, ka nepieciešamais finansējums Valsts kancelejai </w:t>
            </w:r>
            <w:r w:rsidR="00000000" w:rsidRPr="00000000" w:rsidDel="00000000">
              <w:rPr>
                <w:u w:val="single"/>
                <w:rtl w:val="0"/>
              </w:rPr>
              <w:t xml:space="preserve">projekta īstenošanai </w:t>
            </w:r>
            <w:r w:rsidR="00000000" w:rsidRPr="00000000" w:rsidDel="00000000">
              <w:rPr>
                <w:rtl w:val="0"/>
              </w:rPr>
              <w:t xml:space="preserve">un pievienotās vērtības nodokļa izmaksu segšanai tiks pārdalīts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 detalizētu aprēķinu valsts budžeta finansējumam pievienotās vērtības nodokļa izmaksu segšanai 286 846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projekta "Mācīšanās un attīstības sistēmas ieviešana" pabeigšanas paredzēt projekta rezultātu uzturēšanas izmaksas ne vairāk kā 325 248 </w:t>
            </w:r>
            <w:r w:rsidR="00000000" w:rsidRPr="00000000" w:rsidDel="00000000">
              <w:rPr>
                <w:i w:val="1"/>
                <w:rtl w:val="0"/>
              </w:rPr>
              <w:t xml:space="preserve">euro </w:t>
            </w:r>
            <w:r w:rsidR="00000000" w:rsidRPr="00000000" w:rsidDel="00000000">
              <w:rPr>
                <w:rtl w:val="0"/>
              </w:rPr>
              <w:t xml:space="preserve">gadā, un Valsts kancelejai pieprasīt papildu finansējumu budžeta programmā 19.00.00 "Valsts administrācijas skola"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sēdes protokollēmuma projekta 4.punktu, ņemot vērā izteikto iebildumu par Ministru kabineta rīkojuma projekta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Finansēt projektu no investīcijas 2.1.2.1.i, ja projekta iesniegums atbilst Ministru kabineta 2022. gada 14. jūlija noteikumos Nr. 435 "Eiropas Savienības Atveseļošanas un noturības mehānisma plāna 2. komponentes "Digitālā transformācija" 2.1. reformu un investīciju virziena "Valsts pārvaldes, t. sk. pašvaldību digitālā transformācija" īstenošanas noteikumi" iekļautajiem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rīkojuma projekta 3.punktā vārdus "no investīcijas 2.1.2.1.i" ar vārdiem "investīcijas 2.1.2.1.i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projekta Atveseļošanas fonda kopējo finansējumu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"1 680 000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projekta pases 2.2.punkta skaidrojuma ceturtajā rindkopā skaitļus un vārdus "2014.-2020.gada Eiropas Savienības fondu finanšu plānošanas periodā" ar vārdiem un skaitļiem "Eiropas Savienības struktūrfondu un Kohēzijas fonda 2014.-2020.gada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projekta pases 6.punkta otrajā rindkopā vārdus "Atveseļošanas fonda" ar vārdiem "Atveseļošanas un noturības mehānisma (turpmāk - Atveseļošanas fonds)".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projekta pases 7.punktā vārdu "eiro" ar vārdu "euro", ņemt vērā valūtas pierakstu. Attiecīgu precizējumu lūdzam veikt arī attīstības plāna 8.punktā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anotāciju ar informāciju attiecībā uz projekta Atveseļošanas fonda finansējuma summu.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anotāciju ar informāciju, ka projekta ieviešana veicinās Atveseļošanas un noturības mehānisma plāna apstiprināto rādītāju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22-TA-3293</w:t>
    </w:r>
    <w:r>
      <w:br/>
    </w:r>
    <w:r w:rsidR="00000000" w:rsidRPr="00000000" w:rsidDel="00000000">
      <w:rPr>
        <w:rtl w:val="0"/>
      </w:rPr>
      <w:t xml:space="preserve">Izdrukāts 07.12.2022. 17.59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22-TA-3293</w:t>
    </w:r>
    <w:r>
      <w:br/>
    </w:r>
    <w:r w:rsidR="00000000" w:rsidRPr="00000000" w:rsidDel="00000000">
      <w:rPr>
        <w:rtl w:val="0"/>
      </w:rPr>
      <w:t xml:space="preserve">Izdrukāts 07.12.2022. 17.59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Atzinumi_22-TA-3293.docx</dc:title>
</cp:coreProperties>
</file>

<file path=docProps/custom.xml><?xml version="1.0" encoding="utf-8"?>
<Properties xmlns="http://schemas.openxmlformats.org/officeDocument/2006/custom-properties" xmlns:vt="http://schemas.openxmlformats.org/officeDocument/2006/docPropsVTypes"/>
</file>