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nesaskaņo konceptuālā ziņojuma „Par risinājumu institucionālās un kompetenču sadrumstalotības novēršanai valsts valodas apguvē pieaugušajiem” projektu un norāda uz nepieciešamību organizēt starpresoru sanāksmi, iesaistot KM, IZM un IeM, lai vienotos par turpmākajiem risinājumiem gan vienotas valsts valodas mācību sistēmas attīstībai, gan patvēruma, migrācijas un jaunienācēju iekļaušanās sabiedrībā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Mičule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01.07.2026.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01.07.2026.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Atzinumi_26-TA-373.docx</dc:title>
</cp:coreProperties>
</file>

<file path=docProps/custom.xml><?xml version="1.0" encoding="utf-8"?>
<Properties xmlns="http://schemas.openxmlformats.org/officeDocument/2006/custom-properties" xmlns:vt="http://schemas.openxmlformats.org/officeDocument/2006/docPropsVTypes"/>
</file>