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informāciju, pasakot, ka pasākuma projekta vērtēšanā </w:t>
            </w:r>
            <w:r w:rsidR="00000000" w:rsidRPr="00000000" w:rsidDel="00000000">
              <w:rPr>
                <w:u w:val="single"/>
                <w:rtl w:val="0"/>
              </w:rPr>
              <w:t xml:space="preserve">tiks piemērots</w:t>
            </w:r>
            <w:r w:rsidR="00000000" w:rsidRPr="00000000" w:rsidDel="00000000">
              <w:rPr>
                <w:rtl w:val="0"/>
              </w:rPr>
              <w:t xml:space="preserve"> specifiskais atbilstības kritērijs, kurā vērtēs vai projekta iesniegumā ir paredzēta vismaz viena vispārīgā horizontālā principa darbība. Vēršam uzmanību, ka 21.12.2023. apakškomitejā Labklājības ministrija saskaņoja 4.2.1.5. pasākuma projekta vērtēšanas kritērijus un vērtēšanas metodiku, kurā ir iekļauts specifiskais atbilstības kritērijs par horizontālo principu "Vienlīdzība, iekļaušana, nediskriminācija un pamattiesību ievērošana, atbilstoši HP vadlīnijām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29.02.2024.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29.02.2024.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