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2022. gada 14. jūlija noteikumu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noteikumi Nr. 459) grozījumu projekts paredz palielināt atbalsta apmēru par 29 020 919  EUR ar 3.1.1.7.i. pasākuma investīciju finansējumu, kā arī atmaksātā finansējuma apmēru par 5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akciju sabiedrības “Attīstības finanšu institūcija Altum” (turpmāk – sabiedrība “Altum”) noslogoto kapitālu iecenošanu, maksas apmēru, kā arī pamatojumu par vadības izmaksas izmaiņām finanšu instrumentu griezumā, lai ievērotu Attīstības finanšu institūcijas likuma 12.panta trešajā un ceturtajā daļā noteikto. Vai arī lūdzam papildināt Ministru kabineta sēdes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459 8.2.2.apakšpounktā iekļautais Atveseļošanas un noturības mehānisma (turpmāk - Atveseļošanas fonds) mērķrādītājs ir līdz 2026. gada 30. jūnijam ir apstiprināti projekti par 467 dzīvokļu būvniecību, lūdzam papildināt anotāciju, vai būs iespējams šo rādītāju sasniegt pilnā apjomā, ņemot vērā, ka 3.1.1.4.i investīcijas ietvaros vēl ir pieejami 3 625 609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būs nepieciešams veikt grozījumus līgumā, kas noslēgts starp sabiedrību "Altum" un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sniegto informāciju pārcelt uz 6.punktu un punktā “Cita informācija” norādīt ministriju, kura pieprasīs nepieciešamo finansējumu 3.1.1.7.i. investīcijas īstenošanai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Šo noteikumu 4.punktā minēto 3.1.1.7.i. investīcijai pieejamo finansējumu var izmantot pēc tam, kad šo noteikumu 4.punktā 3.1.1.4.i. investīcijā atbalstam pieejamā brīvā finansējuma apmērs nav pietiekošs projekta 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Nr. 459 plānotā 4.</w:t>
            </w:r>
            <w:r w:rsidR="00000000" w:rsidRPr="00000000" w:rsidDel="00000000">
              <w:rPr>
                <w:vertAlign w:val="superscript"/>
                <w:rtl w:val="0"/>
              </w:rPr>
              <w:t xml:space="preserve">1</w:t>
            </w:r>
            <w:r w:rsidR="00000000" w:rsidRPr="00000000" w:rsidDel="00000000">
              <w:rPr>
                <w:rtl w:val="0"/>
              </w:rPr>
              <w:t xml:space="preserve"> punkta mērķi. Vēršam uzmanību, ka nav pieļaujama 3.1.1.7.i. investīcijai pieejamā finansējuma izmantošana 3.1.1.4.i. investīcijas ietvaros iesniegtu projektu īstenošanai, ja attiecīgais finansējums netiek atbrīvots no 3.1.1.7.i. investīcijas un pārdalīts uz 3.1.1.4.i.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pievienotās vērtības nodokļa izmaksām, kas nav atgūstamas vispārējā kārtībā, izmantot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minēto finansējumu un darbības programmas "Uzņēmējdarbība un inovācijas" 2.2.1.4.1. apakšaktivitātes "Atbalsts aizdevumu veidā komersantu konkurētspējas uzlabošanai" un citu sabiedrības “Altum” īstenošanā un Ekonomikas ministrijas pārraudzībā esošo programmu ietvaros atmaksāto publisko finansējumu kopā līdz 14 000 000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459 75. punkts paredz, ka projekta pievienotās vērtības nodokļa izmaksas, ja tās nav atgūstamas vispārējā kārtībā, un citas izmaksas, kas netiek finansētas no Atveseļošanas fonda finansējuma, var tikt finansētas </w:t>
            </w:r>
            <w:r w:rsidR="00000000" w:rsidRPr="00000000" w:rsidDel="00000000">
              <w:rPr>
                <w:u w:val="single"/>
                <w:rtl w:val="0"/>
              </w:rPr>
              <w:t xml:space="preserve">no sabiedrības "Altum" resursiem, kas noteikti šo noteikumu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Nr. 459 plānotajā 6.1. apakšpunktā minētais finansējums uzskatāms par sabiedrības "Altum" resursiem, un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"citu programmu ietvaros atmaksātā finansējuma" avotiem, t.sk. norādot, vai šiem avotiem nav uzlikti specifiski atkalizlietošanas ierobežojumi ar horizontālajiem normatīvajiem aktiem vai konkrēto programmu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līdz 2025. gada 31. decembrim ir apstiprināti projekti par 410 dzīvokļu būvniecību;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Nr. 459 8.1.2.apakšpunktu, ņemot vērā, ka Atveseļošanas fonda plāna Darbības kārtība vairs neparedz šādu uzraudzības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līdz 2025.gada 30.jūnijam ir noslēgts līgums ar sabiedrību "Altum" par 3.1.1.7.i investīcijas īstenošanu un ir veikts Atveseļošanās fonda finansējuma pārskaitījums sabiedrībai "Altum" šo noteikumu 4.punktā 3.1.1.7.i. investīcijai pieejamā finansējuma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anotācija ar Eiropas Komisijas (EK) izvirzītajām prasībām līgumam ar sabiedrību Altum" saturu atbilstoši EK priekšlikumam attiecībā uz šī mērķa aprakstu </w:t>
            </w:r>
            <w:r w:rsidR="00000000" w:rsidRPr="00000000" w:rsidDel="00000000">
              <w:rPr>
                <w:i w:val="1"/>
                <w:rtl w:val="0"/>
              </w:rPr>
              <w:t xml:space="preserve">Padomes īstenošanas lēmuma</w:t>
            </w:r>
            <w:r w:rsidR="00000000" w:rsidRPr="00000000" w:rsidDel="00000000">
              <w:rPr>
                <w:rtl w:val="0"/>
              </w:rPr>
              <w:t xml:space="preserve">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ka šis ir "atskaites punkts" atbilstoši </w:t>
            </w:r>
            <w:r w:rsidR="00000000" w:rsidRPr="00000000" w:rsidDel="00000000">
              <w:rPr>
                <w:i w:val="1"/>
                <w:rtl w:val="0"/>
              </w:rPr>
              <w:t xml:space="preserve">Padomes īstenošanas lēmuma</w:t>
            </w:r>
            <w:r w:rsidR="00000000" w:rsidRPr="00000000" w:rsidDel="00000000">
              <w:rPr>
                <w:rtl w:val="0"/>
              </w:rPr>
              <w:t xml:space="preserve"> projektā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nosacījumiem par Atveseļošanās fonda finansējuma pārskaitījuma veikšanu sabiedrībai "Altum" 3.1.1.7.i. investīcijas īstenošanai, lai nodrošinātu mērķa nosacījumu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Ministrijas un sabiedrības "Altum" noslēgtajā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minētajā līgumā iekļauj pušu saistības par darbībām  ministrijas un sabiedrības "Altum" līmenī un sabiedrības "Altum" un  nekustamā īpašuma attīstītāju līmenī, lai 3.1.1.4.i. investīcijas īstenošanas laikā novērstu interešu konfliktu, korupciju un krāpšanu, kā arī dubultfinansējuma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noteikumi Nr. 459 tiek papildināti ar 3.1.1.7.i. investīcijas īstenošanu, lūdzam papildināt noteikumu Nr. 459 14. punktu ar atsauci arī uz 3.1.1.7.i.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3.1.1.4.i. investīcijas un 3.1.1.7.i. investīcijas ietvaros projektiem, par kuru īstenošanu aizdevuma vai paralēlā aizdevuma līgumi ir noslēgti sākot no 2025.gada un kuru ietvaros tiek nodrošināta dzīvojamās īres mājas nodošana ekspluatācijā, ir piemērojama kapitāla atlaide līdz 30 % no sabiedrības "Altum" aizdevuma vai paralēlā aizdevuma, kas tiek finansēts no šo noteikumu 4. punktā minētā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459 55. punktu, paredzot regulējumu par kapitāla atlaides piemērošanu, ja aizdevuma vai paralēlā aizdevuma līgumi noslēgti līdz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vienā kalendāra mēnesī no vairākiem nekustamā īpašuma attīstītājiem tiks saņemti atbalsta pieteikumi par projektu īstenošanu vienā administratīvajā teritorijā un vienlaikus iesniegto projektu ietvaros kopējais īres dzīvokļu skaits pārsniegs 120 dzīvokļus Daugavpils valstspilsētas, Jelgavas valstspilsētas, Liepājas valstspilsētas, Rēzeknes valstspilsētas, Ventspils valstspilsētas, Ogres novada, Valmieras novada un Jēkabpils novada administratīvajā teritorijā vai 60 īres dzīvokļus ārpus minētajām administratīvajām teritorijām, tad atbalstīts tiks atbalsta pieteikums, ņemot vērā šādus nosacījumus šādā secībā: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atsevišķus projektu ranžēšanas nosacījumus, lai nodrošinātu pēc iespējas lielāku investīciju atdevi sociālo problēmu risināšanā, t.sk. jo īpaši lūdzam saglabāt priekšrocības nosacījumus par zemāku īres maksu par lietderīgās platības kvadrātmetru. Papildus vēršam uzmanību, ka šis nosacījums būtisks </w:t>
            </w:r>
            <w:r w:rsidR="00000000" w:rsidRPr="00000000" w:rsidDel="00000000">
              <w:rPr>
                <w:i w:val="1"/>
                <w:rtl w:val="0"/>
              </w:rPr>
              <w:t xml:space="preserve">Padomes īstenošanas lēmuma i</w:t>
            </w:r>
            <w:r w:rsidR="00000000" w:rsidRPr="00000000" w:rsidDel="00000000">
              <w:rPr>
                <w:rtl w:val="0"/>
              </w:rPr>
              <w:t xml:space="preserve">etverto nosacījumu izpildes pierādīšanai attiecībā uz mājokļu pieejamību, t.sk. ņemot vērā no EK saņemtos jautājumus Atveseļošanas fonda 101.mērķrādītāja </w:t>
            </w:r>
            <w:r w:rsidR="00000000" w:rsidRPr="00000000" w:rsidDel="00000000">
              <w:rPr>
                <w:i w:val="1"/>
                <w:rtl w:val="0"/>
              </w:rPr>
              <w:t xml:space="preserve">cover note</w:t>
            </w:r>
            <w:r w:rsidR="00000000" w:rsidRPr="00000000" w:rsidDel="00000000">
              <w:rPr>
                <w:rtl w:val="0"/>
              </w:rPr>
              <w:t xml:space="preserve"> 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kādu iemeslu dēļ līdz šim praksē nav izpildījušies noteikumu Nr. 459 61.2., 61.3.apakšpunktā minētie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Grozījumi šo noteikumu 4.punktā par 3.1.1.7.i. investīcijai pieejamo finansējumu un šo noteikumu 8.1 punkts stājas spēkā vienlaikus ar Eiropas Komisijas lēmumu par attiecīgajiem Atveseļošanas fonda plāna grozījumu priekšlikumiem. Ekonomikas ministrija pēc tam, kad Eiropas Komisija pieņēmusi lēmumu par Atveseļošanas fonda plāna grozījumu priekšlikumiem, nosūta attiecīgu paziņojumu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regulējums par 3.1.1.7.i. investīcijas īstenošanu iekļauts arī citās noteikumu Nr. 459 normās. Ievērojot minēto, lūdzam izvērtēt iespēju precizēt noteikumu Nr. 459 plānoto 88. punktu un tā pirmajā teikumā iekļaut vispārīgu normu par to, ka grozījumi noteikumos Nr. 459, kas paredz to papildināšanu ar regulējumu par 3.1.1.7.i. investīcijas īstenošanu, stājas spēkā vienlaikus ar attiecīgo Eiropas Komisijas lēmumu. Norādām,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w:t>
    </w:r>
    <w:r>
      <w:br/>
    </w:r>
    <w:r w:rsidR="00000000" w:rsidRPr="00000000" w:rsidDel="00000000">
      <w:rPr>
        <w:rtl w:val="0"/>
      </w:rPr>
      <w:t xml:space="preserve">Izdrukāts 13.02.2025.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w:t>
    </w:r>
    <w:r>
      <w:br/>
    </w:r>
    <w:r w:rsidR="00000000" w:rsidRPr="00000000" w:rsidDel="00000000">
      <w:rPr>
        <w:rtl w:val="0"/>
      </w:rPr>
      <w:t xml:space="preserve">Izdrukāts 13.02.2025.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Atzinumi_25-TA-101.docx</dc:title>
</cp:coreProperties>
</file>

<file path=docProps/custom.xml><?xml version="1.0" encoding="utf-8"?>
<Properties xmlns="http://schemas.openxmlformats.org/officeDocument/2006/custom-properties" xmlns:vt="http://schemas.openxmlformats.org/officeDocument/2006/docPropsVTypes"/>
</file>