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28A" w:rsidRDefault="0062528A" w:rsidP="0062528A">
      <w:pPr>
        <w:pStyle w:val="Heading1"/>
        <w:spacing w:before="0" w:beforeAutospacing="0"/>
        <w:rPr>
          <w:rFonts w:eastAsia="Times New Roman"/>
          <w:color w:val="000000"/>
        </w:rPr>
      </w:pPr>
      <w:r>
        <w:rPr>
          <w:rFonts w:ascii="Times New Roman" w:eastAsia="Times New Roman" w:hAnsi="Times New Roman" w:cs="Times New Roman"/>
          <w:sz w:val="22"/>
          <w:szCs w:val="22"/>
        </w:rPr>
        <w:t>Uz 28.05.2020. VSS prot. Nr. 22 20.§ (VSS-435)</w:t>
      </w:r>
    </w:p>
    <w:p w:rsidR="0062528A" w:rsidRDefault="0062528A" w:rsidP="0062528A">
      <w:pPr>
        <w:spacing w:before="100" w:beforeAutospacing="1" w:after="100" w:afterAutospacing="1"/>
        <w:jc w:val="right"/>
        <w:rPr>
          <w:color w:val="000000"/>
          <w:sz w:val="24"/>
          <w:szCs w:val="24"/>
        </w:rPr>
      </w:pPr>
      <w:r>
        <w:rPr>
          <w:b/>
          <w:bCs/>
          <w:color w:val="000000"/>
          <w:sz w:val="28"/>
          <w:szCs w:val="28"/>
        </w:rPr>
        <w:t>Zemkopības ministrijai</w:t>
      </w:r>
    </w:p>
    <w:p w:rsidR="0062528A" w:rsidRDefault="0062528A" w:rsidP="0062528A">
      <w:pPr>
        <w:spacing w:before="100" w:beforeAutospacing="1" w:after="100" w:afterAutospacing="1"/>
        <w:rPr>
          <w:color w:val="000000"/>
          <w:sz w:val="24"/>
          <w:szCs w:val="24"/>
        </w:rPr>
      </w:pPr>
      <w:r>
        <w:rPr>
          <w:i/>
          <w:iCs/>
          <w:color w:val="000000"/>
          <w:sz w:val="28"/>
          <w:szCs w:val="28"/>
        </w:rPr>
        <w:t> </w:t>
      </w:r>
    </w:p>
    <w:p w:rsidR="0062528A" w:rsidRDefault="0062528A" w:rsidP="0062528A">
      <w:pPr>
        <w:spacing w:before="100" w:beforeAutospacing="1" w:after="100" w:afterAutospacing="1"/>
        <w:ind w:right="3839"/>
        <w:rPr>
          <w:color w:val="000000"/>
          <w:sz w:val="24"/>
          <w:szCs w:val="24"/>
        </w:rPr>
      </w:pPr>
      <w:r>
        <w:rPr>
          <w:i/>
          <w:iCs/>
          <w:color w:val="000000"/>
          <w:sz w:val="28"/>
          <w:szCs w:val="28"/>
        </w:rPr>
        <w:t>Par likumprojektu "Grozījumi Lauksaimniecības un lauku attīstības likumā"</w:t>
      </w:r>
    </w:p>
    <w:p w:rsidR="0062528A" w:rsidRDefault="0062528A" w:rsidP="0062528A">
      <w:pPr>
        <w:spacing w:before="100" w:beforeAutospacing="1" w:after="100" w:afterAutospacing="1"/>
        <w:ind w:right="4123"/>
        <w:rPr>
          <w:color w:val="000000"/>
          <w:sz w:val="24"/>
          <w:szCs w:val="24"/>
        </w:rPr>
      </w:pPr>
      <w:r>
        <w:rPr>
          <w:color w:val="000000"/>
          <w:sz w:val="28"/>
          <w:szCs w:val="28"/>
        </w:rPr>
        <w:t> </w:t>
      </w:r>
    </w:p>
    <w:p w:rsidR="0062528A" w:rsidRDefault="0062528A" w:rsidP="0062528A">
      <w:pPr>
        <w:pStyle w:val="NormalWeb"/>
        <w:ind w:right="13" w:firstLine="720"/>
        <w:jc w:val="both"/>
        <w:rPr>
          <w:color w:val="000000"/>
          <w:sz w:val="24"/>
          <w:szCs w:val="24"/>
        </w:rPr>
      </w:pPr>
      <w:r>
        <w:rPr>
          <w:color w:val="000000"/>
          <w:sz w:val="28"/>
          <w:szCs w:val="28"/>
        </w:rPr>
        <w:t>Tieslietu ministrija ir izskatījusi Zemkopības ministrijas sagatavoto likumprojektu "Grozījumi Lauksaimniecības un lauku attīstības likumā" (turpmāk – projekts) un atbalsta tā virzību, izsakot šādus</w:t>
      </w:r>
      <w:r>
        <w:rPr>
          <w:b/>
          <w:bCs/>
          <w:color w:val="000000"/>
          <w:sz w:val="28"/>
          <w:szCs w:val="28"/>
        </w:rPr>
        <w:t xml:space="preserve"> iebildumus</w:t>
      </w:r>
      <w:r>
        <w:rPr>
          <w:color w:val="000000"/>
          <w:sz w:val="28"/>
          <w:szCs w:val="28"/>
        </w:rPr>
        <w:t>:</w:t>
      </w:r>
    </w:p>
    <w:p w:rsidR="0062528A" w:rsidRDefault="0062528A" w:rsidP="0062528A">
      <w:pPr>
        <w:pStyle w:val="NormalWeb"/>
        <w:ind w:right="11" w:firstLine="720"/>
        <w:jc w:val="both"/>
        <w:rPr>
          <w:color w:val="000000"/>
          <w:sz w:val="24"/>
          <w:szCs w:val="24"/>
        </w:rPr>
      </w:pPr>
      <w:r>
        <w:rPr>
          <w:color w:val="000000"/>
          <w:sz w:val="28"/>
          <w:szCs w:val="28"/>
        </w:rPr>
        <w:t>1.</w:t>
      </w:r>
      <w:r>
        <w:rPr>
          <w:rFonts w:ascii="Times New Roman" w:hAnsi="Times New Roman" w:cs="Times New Roman"/>
          <w:color w:val="000000"/>
          <w:sz w:val="14"/>
          <w:szCs w:val="14"/>
        </w:rPr>
        <w:t xml:space="preserve">  </w:t>
      </w:r>
      <w:r>
        <w:rPr>
          <w:color w:val="000000"/>
          <w:sz w:val="28"/>
          <w:szCs w:val="28"/>
        </w:rPr>
        <w:t>Lūdzam precizēt projekta 4. pantā izteiktā 10. panta 1.</w:t>
      </w:r>
      <w:r>
        <w:rPr>
          <w:color w:val="000000"/>
          <w:sz w:val="28"/>
          <w:szCs w:val="28"/>
          <w:vertAlign w:val="superscript"/>
        </w:rPr>
        <w:t>2</w:t>
      </w:r>
      <w:r>
        <w:rPr>
          <w:color w:val="000000"/>
          <w:sz w:val="28"/>
          <w:szCs w:val="28"/>
        </w:rPr>
        <w:t xml:space="preserve"> daļas 5. punktu, aizstājot vārdus “tiek veiktas” ar vārdu “veic”, kā arī papildinot minēto 5. punktu ar norādi uz subjektu, kam būs pienākums veikt augsnes analīzes agroķīmiskās izpētes vajadzībām.</w:t>
      </w:r>
    </w:p>
    <w:p w:rsidR="0062528A" w:rsidRDefault="0062528A" w:rsidP="0062528A">
      <w:pPr>
        <w:pStyle w:val="NormalWeb"/>
        <w:ind w:right="11" w:firstLine="720"/>
        <w:jc w:val="both"/>
        <w:rPr>
          <w:color w:val="000000"/>
          <w:sz w:val="24"/>
          <w:szCs w:val="24"/>
        </w:rPr>
      </w:pPr>
      <w:r>
        <w:rPr>
          <w:color w:val="000000"/>
          <w:sz w:val="28"/>
          <w:szCs w:val="28"/>
        </w:rPr>
        <w:t>2.</w:t>
      </w:r>
      <w:r>
        <w:rPr>
          <w:rFonts w:ascii="Times New Roman" w:hAnsi="Times New Roman" w:cs="Times New Roman"/>
          <w:color w:val="000000"/>
          <w:sz w:val="14"/>
          <w:szCs w:val="14"/>
        </w:rPr>
        <w:t xml:space="preserve">  </w:t>
      </w:r>
      <w:r>
        <w:rPr>
          <w:color w:val="000000"/>
          <w:sz w:val="28"/>
          <w:szCs w:val="28"/>
        </w:rPr>
        <w:t xml:space="preserve">Lūdzam projekta 5. pantā izteiktajā 11. panta pirmajā daļā </w:t>
      </w:r>
      <w:r>
        <w:rPr>
          <w:color w:val="000000"/>
          <w:sz w:val="28"/>
          <w:szCs w:val="28"/>
          <w:u w:val="single"/>
        </w:rPr>
        <w:t>attiecībā uz kontroles institūciju</w:t>
      </w:r>
      <w:r>
        <w:rPr>
          <w:color w:val="000000"/>
          <w:sz w:val="28"/>
          <w:szCs w:val="28"/>
        </w:rPr>
        <w:t xml:space="preserve"> ietvert atsauci uz Eiropas Parlamenta un Padomes 2018. gada 30. maija Regulas (ES) 2018/848 par bioloģisko ražošanu un bioloģisko produktu marķēšanu un ar ko atceļ Padomes Regulu (EK) Nr. 834/2007 (turpmāk – Regula 2018/848), 34. panta 1. punktu, ņemot vērā arī projekta anotācijas V sadaļas 1. tabulas A ailē norādīto.</w:t>
      </w:r>
    </w:p>
    <w:p w:rsidR="0062528A" w:rsidRDefault="0062528A" w:rsidP="0062528A">
      <w:pPr>
        <w:pStyle w:val="NormalWeb"/>
        <w:ind w:right="11" w:firstLine="709"/>
        <w:jc w:val="both"/>
        <w:rPr>
          <w:color w:val="000000"/>
          <w:sz w:val="24"/>
          <w:szCs w:val="24"/>
        </w:rPr>
      </w:pPr>
      <w:r>
        <w:rPr>
          <w:color w:val="000000"/>
          <w:sz w:val="28"/>
          <w:szCs w:val="28"/>
        </w:rPr>
        <w:t xml:space="preserve">Lūdzam atkārtoti izvērtēt minētā 11. panta pirmajā daļā iekļauto norādi “pilda </w:t>
      </w:r>
      <w:r>
        <w:rPr>
          <w:color w:val="000000"/>
          <w:sz w:val="28"/>
          <w:szCs w:val="28"/>
          <w:u w:val="single"/>
        </w:rPr>
        <w:t>Ministru kabineta noteiktas institūcijas</w:t>
      </w:r>
      <w:r>
        <w:rPr>
          <w:color w:val="000000"/>
          <w:sz w:val="28"/>
          <w:szCs w:val="28"/>
        </w:rPr>
        <w:t>, kas ir akreditētas Latvijas Nacionālajā akreditācijas birojā un atzītas Pārtikas un veterinārajā dienestā”.</w:t>
      </w:r>
    </w:p>
    <w:p w:rsidR="0062528A" w:rsidRDefault="0062528A" w:rsidP="0062528A">
      <w:pPr>
        <w:pStyle w:val="NormalWeb"/>
        <w:ind w:right="11" w:firstLine="709"/>
        <w:jc w:val="both"/>
        <w:rPr>
          <w:color w:val="000000"/>
          <w:sz w:val="24"/>
          <w:szCs w:val="24"/>
        </w:rPr>
      </w:pPr>
      <w:r>
        <w:rPr>
          <w:color w:val="000000"/>
          <w:sz w:val="28"/>
          <w:szCs w:val="28"/>
        </w:rPr>
        <w:t xml:space="preserve">Vēršam uzmanību, ka likumprojekta izstrādātājam jābūt uzmanīgam ar vārdkopas "Ministru kabineta noteiktas institūcijas" lietošanu, jo tas var radīt šaubas par to, vai ietvertā norāde ir pilnvarojums Ministru kabinetam vai norāde uz jau esošu citu regulējumu (citiem spēkā esošiem Ministru kabineta noteikumiem). Piemēram, ja vienā likumā jau ir attiecīgais pilnvarojums Ministru kabinetam, bet radusies nepieciešamība citviet izmantot minēto Ministru kabineta regulējumu, jaunajā likumā atkārtoti neraksta pilnvarojumu Ministru kabinetam, bet </w:t>
      </w:r>
      <w:r>
        <w:rPr>
          <w:color w:val="000000"/>
          <w:sz w:val="28"/>
          <w:szCs w:val="28"/>
        </w:rPr>
        <w:lastRenderedPageBreak/>
        <w:t>raksta frāzi "normatīvajos aktos noteiktajā kārtībā", norādot regulējuma jomu.</w:t>
      </w:r>
    </w:p>
    <w:p w:rsidR="0062528A" w:rsidRDefault="0062528A" w:rsidP="0062528A">
      <w:pPr>
        <w:pStyle w:val="NormalWeb"/>
        <w:ind w:right="11" w:firstLine="720"/>
        <w:jc w:val="both"/>
        <w:rPr>
          <w:color w:val="000000"/>
          <w:sz w:val="24"/>
          <w:szCs w:val="24"/>
        </w:rPr>
      </w:pPr>
      <w:r>
        <w:rPr>
          <w:color w:val="000000"/>
          <w:sz w:val="28"/>
          <w:szCs w:val="28"/>
        </w:rPr>
        <w:t>3.</w:t>
      </w:r>
      <w:r>
        <w:rPr>
          <w:rFonts w:ascii="Times New Roman" w:hAnsi="Times New Roman" w:cs="Times New Roman"/>
          <w:color w:val="000000"/>
          <w:sz w:val="14"/>
          <w:szCs w:val="14"/>
        </w:rPr>
        <w:t xml:space="preserve">  </w:t>
      </w:r>
      <w:r>
        <w:rPr>
          <w:color w:val="000000"/>
          <w:sz w:val="28"/>
          <w:szCs w:val="28"/>
        </w:rPr>
        <w:t>Lūdzam skaidrot, vai projekta 5. pantā izteiktajā 11. panta otrajā daļā minētais “kontroles ziņojums” izriet no Regulas 2018/848 vai kāda cita regulējuma prasībām, nepieciešamības gadījumā precizējot minēto 11. panta otro daļu. Vēršam uzmanību, ka spēkā esošā likuma 11. panta otrajā daļā attiecībā uz kontroles ziņojumu ir ietverta atsauce uz Komisijas regulas Nr. 889/2008 65.panta 3.punktu</w:t>
      </w:r>
    </w:p>
    <w:p w:rsidR="0062528A" w:rsidRDefault="0062528A" w:rsidP="0062528A">
      <w:pPr>
        <w:pStyle w:val="NormalWeb"/>
        <w:ind w:right="11" w:firstLine="720"/>
        <w:jc w:val="both"/>
        <w:rPr>
          <w:color w:val="000000"/>
          <w:sz w:val="24"/>
          <w:szCs w:val="24"/>
        </w:rPr>
      </w:pPr>
      <w:r>
        <w:rPr>
          <w:color w:val="000000"/>
          <w:sz w:val="28"/>
          <w:szCs w:val="28"/>
        </w:rPr>
        <w:t>4.</w:t>
      </w:r>
      <w:r>
        <w:rPr>
          <w:rFonts w:ascii="Times New Roman" w:hAnsi="Times New Roman" w:cs="Times New Roman"/>
          <w:color w:val="000000"/>
          <w:sz w:val="14"/>
          <w:szCs w:val="14"/>
        </w:rPr>
        <w:t xml:space="preserve">  </w:t>
      </w:r>
      <w:r>
        <w:rPr>
          <w:color w:val="000000"/>
          <w:sz w:val="28"/>
          <w:szCs w:val="28"/>
        </w:rPr>
        <w:t>Lūdzam precizēt projekta 5. pantā izteiktā 11. panta 2.</w:t>
      </w:r>
      <w:r>
        <w:rPr>
          <w:color w:val="000000"/>
          <w:sz w:val="28"/>
          <w:szCs w:val="28"/>
          <w:vertAlign w:val="superscript"/>
        </w:rPr>
        <w:t>1</w:t>
      </w:r>
      <w:r>
        <w:rPr>
          <w:color w:val="000000"/>
          <w:sz w:val="28"/>
          <w:szCs w:val="28"/>
        </w:rPr>
        <w:t xml:space="preserve"> daļas redakciju, norādot atsauci uz regulas 2018/848 46. panta 4. punktu attiecībā uz institūcijas darbības </w:t>
      </w:r>
      <w:r>
        <w:rPr>
          <w:color w:val="000000"/>
          <w:sz w:val="28"/>
          <w:szCs w:val="28"/>
          <w:u w:val="single"/>
        </w:rPr>
        <w:t>novērtējuma ziņojumu</w:t>
      </w:r>
      <w:r>
        <w:rPr>
          <w:color w:val="000000"/>
          <w:sz w:val="28"/>
          <w:szCs w:val="28"/>
        </w:rPr>
        <w:t>, nevis tā sagatavošanu. Vēršam uzmanību, ka regulas 2018/848 46. panta 4. punktā ir minēts novērtējuma ziņojums, nevis tā sagatavošanas kārtība.</w:t>
      </w:r>
    </w:p>
    <w:p w:rsidR="0062528A" w:rsidRDefault="0062528A" w:rsidP="0062528A">
      <w:pPr>
        <w:pStyle w:val="NormalWeb"/>
        <w:ind w:right="11" w:firstLine="720"/>
        <w:jc w:val="both"/>
        <w:rPr>
          <w:color w:val="000000"/>
          <w:sz w:val="24"/>
          <w:szCs w:val="24"/>
        </w:rPr>
      </w:pPr>
      <w:r>
        <w:rPr>
          <w:color w:val="000000"/>
          <w:sz w:val="28"/>
          <w:szCs w:val="28"/>
        </w:rPr>
        <w:t>5.</w:t>
      </w:r>
      <w:r>
        <w:rPr>
          <w:rFonts w:ascii="Times New Roman" w:hAnsi="Times New Roman" w:cs="Times New Roman"/>
          <w:color w:val="000000"/>
          <w:sz w:val="14"/>
          <w:szCs w:val="14"/>
        </w:rPr>
        <w:t xml:space="preserve">  </w:t>
      </w:r>
      <w:r>
        <w:rPr>
          <w:color w:val="000000"/>
          <w:sz w:val="28"/>
          <w:szCs w:val="28"/>
        </w:rPr>
        <w:t xml:space="preserve">Lūdzam atkārtoti izvērtēt projekta 5. pantā izteiktās 11. panta trešās daļas 1. punkta “c” un “d” apakšpunktā ietverto </w:t>
      </w:r>
      <w:r>
        <w:rPr>
          <w:color w:val="000000"/>
          <w:sz w:val="28"/>
          <w:szCs w:val="28"/>
          <w:u w:val="single"/>
        </w:rPr>
        <w:t>pilnvarojuma saturu Ministru kabinetam</w:t>
      </w:r>
      <w:r>
        <w:rPr>
          <w:color w:val="000000"/>
          <w:sz w:val="28"/>
          <w:szCs w:val="28"/>
        </w:rPr>
        <w:t>.  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w:t>
      </w:r>
      <w:r>
        <w:rPr>
          <w:color w:val="000000"/>
          <w:sz w:val="28"/>
          <w:szCs w:val="28"/>
          <w:vertAlign w:val="superscript"/>
        </w:rPr>
        <w:footnoteReference w:customMarkFollows="1" w:id="1"/>
        <w:t>[1]</w:t>
      </w:r>
      <w:r>
        <w:rPr>
          <w:color w:val="000000"/>
          <w:sz w:val="28"/>
          <w:szCs w:val="28"/>
        </w:rPr>
        <w:t xml:space="preserve"> Proti, uz pilnvarojuma pamata izdoto normu saturu veido galvenokārt procesuālās normas, kas darbojas kā iepriekš likumā noteikto tiesību iedzīvināšanas instruments. Atsevišķos gadījumos</w:t>
      </w:r>
      <w:r>
        <w:rPr>
          <w:b/>
          <w:bCs/>
          <w:color w:val="000000"/>
          <w:sz w:val="28"/>
          <w:szCs w:val="28"/>
        </w:rPr>
        <w:t xml:space="preserve"> </w:t>
      </w:r>
      <w:r>
        <w:rPr>
          <w:color w:val="000000"/>
          <w:sz w:val="28"/>
          <w:szCs w:val="28"/>
        </w:rPr>
        <w:t>Ministru kabineta noteikumu saturu var veidot arī materiālās normas, taču tām jābūt pieņemtām, pamatojoties uz likumdevēja pilnvarojumu.</w:t>
      </w:r>
      <w:r>
        <w:rPr>
          <w:color w:val="000000"/>
          <w:sz w:val="28"/>
          <w:szCs w:val="28"/>
          <w:vertAlign w:val="superscript"/>
        </w:rPr>
        <w:footnoteReference w:customMarkFollows="1" w:id="2"/>
        <w:t>[2]</w:t>
      </w:r>
      <w:r>
        <w:rPr>
          <w:color w:val="000000"/>
          <w:sz w:val="28"/>
          <w:szCs w:val="28"/>
        </w:rPr>
        <w:t xml:space="preserve"> Piemēram, </w:t>
      </w:r>
      <w:r>
        <w:rPr>
          <w:color w:val="000000"/>
          <w:sz w:val="28"/>
          <w:szCs w:val="28"/>
          <w:u w:val="single"/>
        </w:rPr>
        <w:t>pilnvarojumā minētais vārds "kārtība" pamatā piešķir Ministru kabinetam tiesības noteikumos regulēt attiecīgā jautājuma procesuālo raksturu, proti, izstrādāt noteiktu procedūru</w:t>
      </w:r>
      <w:r>
        <w:rPr>
          <w:color w:val="000000"/>
          <w:sz w:val="28"/>
          <w:szCs w:val="28"/>
        </w:rPr>
        <w:t>.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Pr>
          <w:color w:val="000000"/>
          <w:sz w:val="28"/>
          <w:szCs w:val="28"/>
          <w:vertAlign w:val="superscript"/>
        </w:rPr>
        <w:footnoteReference w:customMarkFollows="1" w:id="3"/>
        <w:t>[3]</w:t>
      </w:r>
      <w:r>
        <w:rPr>
          <w:color w:val="000000"/>
          <w:sz w:val="28"/>
          <w:szCs w:val="28"/>
        </w:rPr>
        <w:t xml:space="preserve"> Ja </w:t>
      </w:r>
      <w:r>
        <w:rPr>
          <w:color w:val="000000"/>
          <w:sz w:val="28"/>
          <w:szCs w:val="28"/>
        </w:rPr>
        <w:lastRenderedPageBreak/>
        <w:t>tiesību normā jēdziens "kārtība" nav izmantots, tad pilnvarojums ir atšķirīgs un aptver ne tikai tiesības regulēt darbību procesuālo aspektu.</w:t>
      </w:r>
      <w:r>
        <w:rPr>
          <w:color w:val="000000"/>
          <w:sz w:val="28"/>
          <w:szCs w:val="28"/>
          <w:vertAlign w:val="superscript"/>
        </w:rPr>
        <w:footnoteReference w:customMarkFollows="1" w:id="4"/>
        <w:t>[4]</w:t>
      </w:r>
      <w:r>
        <w:rPr>
          <w:color w:val="000000"/>
          <w:sz w:val="28"/>
          <w:szCs w:val="28"/>
        </w:rPr>
        <w:t xml:space="preserve"> </w:t>
      </w:r>
    </w:p>
    <w:p w:rsidR="0062528A" w:rsidRDefault="0062528A" w:rsidP="0062528A">
      <w:pPr>
        <w:spacing w:before="100" w:beforeAutospacing="1" w:after="100" w:afterAutospacing="1"/>
        <w:ind w:firstLine="567"/>
        <w:rPr>
          <w:color w:val="000000"/>
          <w:sz w:val="24"/>
          <w:szCs w:val="24"/>
        </w:rPr>
      </w:pPr>
      <w:r>
        <w:rPr>
          <w:color w:val="000000"/>
          <w:sz w:val="28"/>
          <w:szCs w:val="28"/>
        </w:rPr>
        <w:t xml:space="preserve">Vienlaikus jāņem vērā Administratīvā procesa likuma 11. pantā paredzētais, ka </w:t>
      </w:r>
      <w:r>
        <w:rPr>
          <w:color w:val="000000"/>
          <w:sz w:val="28"/>
          <w:szCs w:val="28"/>
          <w:u w:val="single"/>
        </w:rPr>
        <w:t>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r>
        <w:rPr>
          <w:color w:val="000000"/>
          <w:sz w:val="28"/>
          <w:szCs w:val="28"/>
        </w:rPr>
        <w:t xml:space="preserve"> Administratīvā procesa likuma 11. pantā paredzētais likuma atrunas princips ierobežo jebkura nelabvēlīga administratīvā akta izdošanu, neesot Satversmes, likuma vai starptautisko tiesību normu pilnvarojumam.</w:t>
      </w:r>
      <w:r>
        <w:rPr>
          <w:rStyle w:val="FootnoteReference"/>
          <w:color w:val="000000"/>
          <w:sz w:val="28"/>
          <w:szCs w:val="28"/>
        </w:rPr>
        <w:footnoteReference w:customMarkFollows="1" w:id="5"/>
        <w:t>[5]</w:t>
      </w:r>
      <w:r>
        <w:rPr>
          <w:color w:val="000000"/>
          <w:sz w:val="28"/>
          <w:szCs w:val="28"/>
        </w:rPr>
        <w:t xml:space="preserve"> Ar nelabvēlīgu administratīvo aktu šajā pantā saprot tādu administratīvo aktu, ar kuru privātpersonas iepriekšējais tiesiskais stāvoklis tiek pasliktināts, proti, administratīvu aktu, ar kuru privātpersonai atņemtas kādas tai piemītošas tiesības vai uzlikts pienākums.</w:t>
      </w:r>
      <w:r>
        <w:rPr>
          <w:rStyle w:val="FootnoteReference"/>
          <w:color w:val="000000"/>
          <w:sz w:val="28"/>
          <w:szCs w:val="28"/>
        </w:rPr>
        <w:footnoteReference w:customMarkFollows="1" w:id="6"/>
        <w:t>[6]</w:t>
      </w:r>
      <w:r>
        <w:rPr>
          <w:color w:val="000000"/>
          <w:sz w:val="28"/>
          <w:szCs w:val="28"/>
        </w:rPr>
        <w:t xml:space="preserve"> </w:t>
      </w:r>
    </w:p>
    <w:p w:rsidR="0062528A" w:rsidRDefault="0062528A" w:rsidP="0062528A">
      <w:pPr>
        <w:spacing w:before="100" w:beforeAutospacing="1" w:after="100" w:afterAutospacing="1"/>
        <w:ind w:firstLine="567"/>
        <w:rPr>
          <w:color w:val="000000"/>
          <w:sz w:val="24"/>
          <w:szCs w:val="24"/>
        </w:rPr>
      </w:pPr>
      <w:r>
        <w:rPr>
          <w:color w:val="000000"/>
          <w:sz w:val="28"/>
          <w:szCs w:val="28"/>
          <w:shd w:val="clear" w:color="auto" w:fill="FFFFFF"/>
        </w:rPr>
        <w:t xml:space="preserve">Papildus jāņem vērā, ka </w:t>
      </w:r>
      <w:r>
        <w:rPr>
          <w:color w:val="000000"/>
          <w:sz w:val="28"/>
          <w:szCs w:val="28"/>
          <w:u w:val="single"/>
          <w:shd w:val="clear" w:color="auto" w:fill="FFFFFF"/>
        </w:rPr>
        <w:t>likumdevēja pilnvarošanas tiesības nav absolūtas, jo ir jautājumi, kurus drīkst izlemt tikai likumdevējs pats.</w:t>
      </w:r>
      <w:r>
        <w:rPr>
          <w:color w:val="000000"/>
          <w:sz w:val="28"/>
          <w:szCs w:val="28"/>
          <w:shd w:val="clear" w:color="auto" w:fill="FFFFFF"/>
        </w:rPr>
        <w:t xml:space="preserve"> Piemēram, </w:t>
      </w:r>
      <w:r>
        <w:rPr>
          <w:color w:val="000000"/>
          <w:sz w:val="28"/>
          <w:szCs w:val="28"/>
        </w:rPr>
        <w:t>likumdevējam pašam</w:t>
      </w:r>
      <w:r>
        <w:rPr>
          <w:rStyle w:val="FootnoteReference"/>
          <w:color w:val="000000"/>
          <w:sz w:val="28"/>
          <w:szCs w:val="28"/>
        </w:rPr>
        <w:t xml:space="preserve"> </w:t>
      </w:r>
      <w:r>
        <w:rPr>
          <w:color w:val="000000"/>
          <w:sz w:val="28"/>
          <w:szCs w:val="28"/>
        </w:rPr>
        <w:t>jālemj par tādu svarīgu un nozīmīgu valsts un sabiedrības dzīves jautājumu reglamentāciju, kuros nepieciešama konceptuāla izšķiršanās un politiska diskusija.</w:t>
      </w:r>
      <w:r>
        <w:rPr>
          <w:rStyle w:val="FootnoteReference"/>
          <w:color w:val="000000"/>
          <w:sz w:val="28"/>
          <w:szCs w:val="28"/>
        </w:rPr>
        <w:footnoteReference w:customMarkFollows="1" w:id="7"/>
        <w:t>[7]</w:t>
      </w:r>
      <w:r>
        <w:rPr>
          <w:color w:val="000000"/>
          <w:sz w:val="28"/>
          <w:szCs w:val="28"/>
        </w:rPr>
        <w:t xml:space="preserve"> </w:t>
      </w:r>
      <w:r>
        <w:rPr>
          <w:color w:val="000000"/>
          <w:sz w:val="28"/>
          <w:szCs w:val="28"/>
          <w:shd w:val="clear" w:color="auto" w:fill="FFFFFF"/>
        </w:rPr>
        <w:t xml:space="preserve">Arī </w:t>
      </w:r>
      <w:r>
        <w:rPr>
          <w:color w:val="000000"/>
          <w:sz w:val="28"/>
          <w:szCs w:val="28"/>
        </w:rPr>
        <w:t xml:space="preserve">materiāli tiesiska </w:t>
      </w:r>
      <w:proofErr w:type="spellStart"/>
      <w:r>
        <w:rPr>
          <w:color w:val="000000"/>
          <w:sz w:val="28"/>
          <w:szCs w:val="28"/>
        </w:rPr>
        <w:t>prekluzīva</w:t>
      </w:r>
      <w:proofErr w:type="spellEnd"/>
      <w:r>
        <w:rPr>
          <w:color w:val="000000"/>
          <w:sz w:val="28"/>
          <w:szCs w:val="28"/>
        </w:rPr>
        <w:t xml:space="preserve"> termiņa noteikšana ir likumdevēja kompetencē, izdarot politisku izšķiršanos attiecībā uz jautājumu, kāds laiks dodams kādas tiesības īstenošanai.</w:t>
      </w:r>
      <w:r>
        <w:rPr>
          <w:rStyle w:val="FootnoteReference"/>
          <w:color w:val="000000"/>
          <w:sz w:val="28"/>
          <w:szCs w:val="28"/>
        </w:rPr>
        <w:footnoteReference w:customMarkFollows="1" w:id="8"/>
        <w:t>[8]</w:t>
      </w:r>
    </w:p>
    <w:p w:rsidR="0062528A" w:rsidRDefault="0062528A" w:rsidP="0062528A">
      <w:pPr>
        <w:spacing w:before="100" w:beforeAutospacing="1" w:after="100" w:afterAutospacing="1"/>
        <w:ind w:firstLine="567"/>
        <w:rPr>
          <w:color w:val="000000"/>
          <w:sz w:val="24"/>
          <w:szCs w:val="24"/>
        </w:rPr>
      </w:pPr>
      <w:r>
        <w:rPr>
          <w:color w:val="000000"/>
          <w:sz w:val="28"/>
          <w:szCs w:val="28"/>
        </w:rPr>
        <w:t xml:space="preserve">Tādējādi aicinām izvērtēt nepieciešamību papildināt minētā 11. panta trešās daļas 1. punkta “c” un “d” apakšpunktu pēc vārda “kārtību” ar vārdu “prasības”, kas ietvertu arī materiāla rakstura normas, piemēram, nosacījumus sertifikātu un atļauju izsniegšanai. Vienlaikus </w:t>
      </w:r>
      <w:r>
        <w:rPr>
          <w:color w:val="000000"/>
          <w:sz w:val="28"/>
          <w:szCs w:val="28"/>
        </w:rPr>
        <w:lastRenderedPageBreak/>
        <w:t>aicinām arī izsvērt nepieciešamību minētās prasības noteikt spēkā esošajā likumā, nevis Ministru kabineta noteikumos, ņemot vērā likuma mērķi, darbības jomu un jau pašlaik likumā ietverto regulējumu, ko likumdevējs ir izlēmis ietvert likumā.</w:t>
      </w:r>
    </w:p>
    <w:p w:rsidR="0062528A" w:rsidRDefault="0062528A" w:rsidP="0062528A">
      <w:pPr>
        <w:spacing w:before="100" w:beforeAutospacing="1" w:after="100" w:afterAutospacing="1"/>
        <w:rPr>
          <w:color w:val="000000"/>
          <w:sz w:val="24"/>
          <w:szCs w:val="24"/>
        </w:rPr>
      </w:pPr>
      <w:r>
        <w:rPr>
          <w:color w:val="000000"/>
          <w:sz w:val="28"/>
          <w:szCs w:val="28"/>
        </w:rPr>
        <w:t> </w:t>
      </w:r>
    </w:p>
    <w:p w:rsidR="0062528A" w:rsidRDefault="0062528A" w:rsidP="0062528A">
      <w:pPr>
        <w:spacing w:before="100" w:beforeAutospacing="1" w:after="100" w:afterAutospacing="1"/>
        <w:rPr>
          <w:color w:val="000000"/>
          <w:sz w:val="24"/>
          <w:szCs w:val="24"/>
        </w:rPr>
      </w:pPr>
      <w:r>
        <w:rPr>
          <w:color w:val="000000"/>
          <w:sz w:val="28"/>
          <w:szCs w:val="28"/>
        </w:rPr>
        <w:t> </w:t>
      </w:r>
    </w:p>
    <w:p w:rsidR="0062528A" w:rsidRDefault="0062528A" w:rsidP="0062528A">
      <w:pPr>
        <w:spacing w:before="100" w:beforeAutospacing="1" w:after="100" w:afterAutospacing="1"/>
        <w:rPr>
          <w:color w:val="000000"/>
          <w:sz w:val="24"/>
          <w:szCs w:val="24"/>
        </w:rPr>
      </w:pPr>
      <w:r>
        <w:rPr>
          <w:color w:val="000000"/>
          <w:sz w:val="28"/>
          <w:szCs w:val="28"/>
        </w:rPr>
        <w:t>Valsts sekretāra vietniece</w:t>
      </w:r>
    </w:p>
    <w:p w:rsidR="0062528A" w:rsidRDefault="0062528A" w:rsidP="0062528A">
      <w:pPr>
        <w:spacing w:before="100" w:beforeAutospacing="1" w:after="100" w:afterAutospacing="1"/>
        <w:rPr>
          <w:color w:val="000000"/>
          <w:sz w:val="24"/>
          <w:szCs w:val="24"/>
        </w:rPr>
      </w:pPr>
      <w:r>
        <w:rPr>
          <w:color w:val="000000"/>
          <w:sz w:val="28"/>
          <w:szCs w:val="28"/>
        </w:rPr>
        <w:t xml:space="preserve">tiesību politikas jautājumos                                                                     Laila </w:t>
      </w:r>
      <w:proofErr w:type="spellStart"/>
      <w:r>
        <w:rPr>
          <w:color w:val="000000"/>
          <w:sz w:val="28"/>
          <w:szCs w:val="28"/>
        </w:rPr>
        <w:t>Medina</w:t>
      </w:r>
      <w:proofErr w:type="spellEnd"/>
    </w:p>
    <w:p w:rsidR="0062528A" w:rsidRDefault="0062528A" w:rsidP="0062528A">
      <w:pPr>
        <w:spacing w:before="100" w:beforeAutospacing="1" w:after="100" w:afterAutospacing="1"/>
        <w:rPr>
          <w:color w:val="000000"/>
          <w:sz w:val="24"/>
          <w:szCs w:val="24"/>
        </w:rPr>
      </w:pPr>
      <w:r>
        <w:rPr>
          <w:color w:val="000000"/>
          <w:sz w:val="28"/>
          <w:szCs w:val="28"/>
        </w:rPr>
        <w:t> </w:t>
      </w:r>
    </w:p>
    <w:p w:rsidR="0062528A" w:rsidRDefault="0062528A" w:rsidP="0062528A">
      <w:pPr>
        <w:spacing w:before="100" w:beforeAutospacing="1" w:after="100" w:afterAutospacing="1"/>
        <w:rPr>
          <w:color w:val="000000"/>
          <w:sz w:val="24"/>
          <w:szCs w:val="24"/>
        </w:rPr>
      </w:pPr>
      <w:r>
        <w:rPr>
          <w:color w:val="000000"/>
          <w:sz w:val="28"/>
          <w:szCs w:val="28"/>
        </w:rPr>
        <w:t> </w:t>
      </w:r>
    </w:p>
    <w:p w:rsidR="0062528A" w:rsidRDefault="0062528A" w:rsidP="0062528A">
      <w:pPr>
        <w:spacing w:before="100" w:beforeAutospacing="1" w:after="100" w:afterAutospacing="1"/>
        <w:rPr>
          <w:color w:val="000000"/>
          <w:sz w:val="24"/>
          <w:szCs w:val="24"/>
        </w:rPr>
      </w:pPr>
      <w:r>
        <w:rPr>
          <w:color w:val="000000"/>
          <w:sz w:val="20"/>
          <w:szCs w:val="20"/>
        </w:rPr>
        <w:t xml:space="preserve">Amanda Mūrniece              </w:t>
      </w:r>
    </w:p>
    <w:p w:rsidR="0062528A" w:rsidRDefault="0062528A" w:rsidP="0062528A">
      <w:pPr>
        <w:spacing w:before="100" w:beforeAutospacing="1" w:after="100" w:afterAutospacing="1"/>
        <w:rPr>
          <w:color w:val="000000"/>
          <w:sz w:val="24"/>
          <w:szCs w:val="24"/>
        </w:rPr>
      </w:pPr>
      <w:r>
        <w:rPr>
          <w:color w:val="000000"/>
          <w:sz w:val="20"/>
          <w:szCs w:val="20"/>
        </w:rPr>
        <w:t xml:space="preserve">Valststiesību departamenta </w:t>
      </w:r>
    </w:p>
    <w:p w:rsidR="0062528A" w:rsidRDefault="0062528A" w:rsidP="0062528A">
      <w:pPr>
        <w:spacing w:before="100" w:beforeAutospacing="1" w:after="100" w:afterAutospacing="1"/>
        <w:rPr>
          <w:color w:val="000000"/>
          <w:sz w:val="24"/>
          <w:szCs w:val="24"/>
        </w:rPr>
      </w:pPr>
      <w:r>
        <w:rPr>
          <w:color w:val="000000"/>
          <w:sz w:val="20"/>
          <w:szCs w:val="20"/>
        </w:rPr>
        <w:t>Starptautisko publisko tiesību nodaļas juriste</w:t>
      </w:r>
    </w:p>
    <w:p w:rsidR="0062528A" w:rsidRDefault="0062528A" w:rsidP="0062528A">
      <w:pPr>
        <w:spacing w:before="100" w:beforeAutospacing="1" w:after="100" w:afterAutospacing="1"/>
        <w:rPr>
          <w:color w:val="000000"/>
          <w:sz w:val="24"/>
          <w:szCs w:val="24"/>
        </w:rPr>
      </w:pPr>
      <w:r>
        <w:rPr>
          <w:color w:val="000000"/>
          <w:sz w:val="20"/>
          <w:szCs w:val="20"/>
        </w:rPr>
        <w:t xml:space="preserve">67036942, </w:t>
      </w:r>
      <w:hyperlink r:id="rId6" w:history="1">
        <w:r>
          <w:rPr>
            <w:rStyle w:val="Hyperlink"/>
            <w:color w:val="000000"/>
            <w:sz w:val="20"/>
            <w:szCs w:val="20"/>
          </w:rPr>
          <w:t>Amanda.Murniece@tm.gov.lv</w:t>
        </w:r>
      </w:hyperlink>
      <w:r>
        <w:rPr>
          <w:color w:val="000000"/>
          <w:sz w:val="20"/>
          <w:szCs w:val="20"/>
        </w:rPr>
        <w:t xml:space="preserve"> </w:t>
      </w:r>
    </w:p>
    <w:p w:rsidR="0026011B" w:rsidRPr="0062528A" w:rsidRDefault="0026011B" w:rsidP="0062528A">
      <w:bookmarkStart w:id="0" w:name="_GoBack"/>
      <w:bookmarkEnd w:id="0"/>
    </w:p>
    <w:sectPr w:rsidR="0026011B" w:rsidRPr="0062528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528A" w:rsidRDefault="0062528A" w:rsidP="0062528A">
      <w:r>
        <w:separator/>
      </w:r>
    </w:p>
  </w:endnote>
  <w:endnote w:type="continuationSeparator" w:id="0">
    <w:p w:rsidR="0062528A" w:rsidRDefault="0062528A" w:rsidP="0062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528A" w:rsidRDefault="0062528A" w:rsidP="0062528A">
      <w:r>
        <w:separator/>
      </w:r>
    </w:p>
  </w:footnote>
  <w:footnote w:type="continuationSeparator" w:id="0">
    <w:p w:rsidR="0062528A" w:rsidRDefault="0062528A" w:rsidP="0062528A">
      <w:r>
        <w:continuationSeparator/>
      </w:r>
    </w:p>
  </w:footnote>
  <w:footnote w:id="1">
    <w:p w:rsidR="0062528A" w:rsidRDefault="0062528A" w:rsidP="0062528A">
      <w:pPr>
        <w:pStyle w:val="FootnoteText"/>
        <w:jc w:val="both"/>
        <w:rPr>
          <w:color w:val="000000"/>
          <w:sz w:val="24"/>
          <w:szCs w:val="24"/>
        </w:rPr>
      </w:pPr>
      <w:r>
        <w:rPr>
          <w:rStyle w:val="FootnoteReference"/>
          <w:color w:val="000000"/>
          <w:sz w:val="24"/>
          <w:szCs w:val="24"/>
        </w:rPr>
        <w:t>[1]</w:t>
      </w:r>
      <w:r>
        <w:rPr>
          <w:rFonts w:ascii="Times New Roman" w:hAnsi="Times New Roman" w:cs="Times New Roman"/>
          <w:color w:val="000000"/>
          <w:sz w:val="24"/>
          <w:szCs w:val="24"/>
        </w:rPr>
        <w:t xml:space="preserve"> Satversmes tiesas 2011. gada 11. janvāra spriedums lietā Nr. 2010-40-03, 10. punkts.</w:t>
      </w:r>
    </w:p>
  </w:footnote>
  <w:footnote w:id="2">
    <w:p w:rsidR="0062528A" w:rsidRDefault="0062528A" w:rsidP="0062528A">
      <w:pPr>
        <w:pStyle w:val="FootnoteText"/>
        <w:jc w:val="both"/>
        <w:rPr>
          <w:color w:val="000000"/>
          <w:sz w:val="24"/>
          <w:szCs w:val="24"/>
        </w:rPr>
      </w:pPr>
      <w:r>
        <w:rPr>
          <w:rStyle w:val="FootnoteReference"/>
          <w:color w:val="000000"/>
          <w:sz w:val="24"/>
          <w:szCs w:val="24"/>
        </w:rPr>
        <w:t>[2]</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Satversmes tiesas 2011. gada 11. janvāra spriedums lietā Nr. 2010-40-03, 10.4. apakšpunkts.</w:t>
      </w:r>
    </w:p>
  </w:footnote>
  <w:footnote w:id="3">
    <w:p w:rsidR="0062528A" w:rsidRDefault="0062528A" w:rsidP="0062528A">
      <w:pPr>
        <w:pStyle w:val="FootnoteText"/>
        <w:rPr>
          <w:color w:val="000000"/>
          <w:sz w:val="24"/>
          <w:szCs w:val="24"/>
        </w:rPr>
      </w:pPr>
      <w:r>
        <w:rPr>
          <w:rStyle w:val="FootnoteReference"/>
          <w:color w:val="000000"/>
          <w:sz w:val="24"/>
          <w:szCs w:val="24"/>
        </w:rPr>
        <w:t>[3]</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Satversmes tiesas 2011. gada 6. maija spriedums lietā Nr. 2010-57-03, 13.3. apakšpunkts.</w:t>
      </w:r>
    </w:p>
  </w:footnote>
  <w:footnote w:id="4">
    <w:p w:rsidR="0062528A" w:rsidRDefault="0062528A" w:rsidP="0062528A">
      <w:pPr>
        <w:pStyle w:val="FootnoteText"/>
        <w:jc w:val="both"/>
        <w:rPr>
          <w:color w:val="000000"/>
          <w:sz w:val="24"/>
          <w:szCs w:val="24"/>
        </w:rPr>
      </w:pPr>
      <w:r>
        <w:rPr>
          <w:rStyle w:val="FootnoteReference"/>
          <w:color w:val="000000"/>
          <w:sz w:val="24"/>
          <w:szCs w:val="24"/>
        </w:rPr>
        <w:t>[4]</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Satversmes tiesas 2016. gada 2. marta spriedums lietā Nr. </w:t>
      </w:r>
      <w:r>
        <w:rPr>
          <w:rFonts w:ascii="Times New Roman" w:hAnsi="Times New Roman" w:cs="Times New Roman"/>
          <w:color w:val="000000"/>
          <w:sz w:val="24"/>
          <w:szCs w:val="24"/>
          <w:shd w:val="clear" w:color="auto" w:fill="FFFFFF"/>
        </w:rPr>
        <w:t>2015-11-03, 23.3. apakšpunkts.</w:t>
      </w:r>
    </w:p>
  </w:footnote>
  <w:footnote w:id="5">
    <w:p w:rsidR="0062528A" w:rsidRDefault="0062528A" w:rsidP="0062528A">
      <w:pPr>
        <w:spacing w:before="100" w:beforeAutospacing="1" w:after="100" w:afterAutospacing="1"/>
        <w:rPr>
          <w:color w:val="000000"/>
          <w:sz w:val="24"/>
          <w:szCs w:val="24"/>
        </w:rPr>
      </w:pPr>
      <w:r>
        <w:rPr>
          <w:rStyle w:val="FootnoteReference"/>
          <w:color w:val="000000"/>
          <w:sz w:val="20"/>
          <w:szCs w:val="20"/>
        </w:rPr>
        <w:t>[5]</w:t>
      </w:r>
      <w:r>
        <w:rPr>
          <w:color w:val="000000"/>
          <w:sz w:val="20"/>
          <w:szCs w:val="20"/>
        </w:rPr>
        <w:t xml:space="preserve"> </w:t>
      </w:r>
      <w:r>
        <w:rPr>
          <w:color w:val="000000"/>
          <w:sz w:val="20"/>
          <w:szCs w:val="20"/>
        </w:rPr>
        <w:t xml:space="preserve">Augstākās tiesas </w:t>
      </w:r>
      <w:r>
        <w:rPr>
          <w:color w:val="000000"/>
          <w:spacing w:val="-1"/>
          <w:sz w:val="20"/>
          <w:szCs w:val="20"/>
        </w:rPr>
        <w:t xml:space="preserve">Senāta Administratīvo lietu departamenta </w:t>
      </w:r>
      <w:r>
        <w:rPr>
          <w:color w:val="000000"/>
          <w:sz w:val="20"/>
          <w:szCs w:val="20"/>
        </w:rPr>
        <w:t>2009. gada 16. marta spriedums lietā Nr. A42459905 (SKA-30/2009).</w:t>
      </w:r>
    </w:p>
  </w:footnote>
  <w:footnote w:id="6">
    <w:p w:rsidR="0062528A" w:rsidRDefault="0062528A" w:rsidP="0062528A">
      <w:pPr>
        <w:pStyle w:val="FootnoteText"/>
        <w:jc w:val="both"/>
        <w:rPr>
          <w:color w:val="000000"/>
          <w:sz w:val="24"/>
          <w:szCs w:val="24"/>
        </w:rPr>
      </w:pPr>
      <w:r>
        <w:rPr>
          <w:rStyle w:val="FootnoteReference"/>
          <w:color w:val="000000"/>
          <w:sz w:val="24"/>
          <w:szCs w:val="24"/>
        </w:rPr>
        <w:t>[6]</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Administratīvā procesa likuma komentāri. A un B daļa. Autoru kolektīvs Dr. </w:t>
      </w:r>
      <w:proofErr w:type="spellStart"/>
      <w:r>
        <w:rPr>
          <w:rFonts w:ascii="Times New Roman" w:hAnsi="Times New Roman" w:cs="Times New Roman"/>
          <w:color w:val="000000"/>
          <w:sz w:val="24"/>
          <w:szCs w:val="24"/>
        </w:rPr>
        <w:t>iur</w:t>
      </w:r>
      <w:proofErr w:type="spellEnd"/>
      <w:r>
        <w:rPr>
          <w:rFonts w:ascii="Times New Roman" w:hAnsi="Times New Roman" w:cs="Times New Roman"/>
          <w:color w:val="000000"/>
          <w:sz w:val="24"/>
          <w:szCs w:val="24"/>
        </w:rPr>
        <w:t>. J. </w:t>
      </w:r>
      <w:proofErr w:type="spellStart"/>
      <w:r>
        <w:rPr>
          <w:rFonts w:ascii="Times New Roman" w:hAnsi="Times New Roman" w:cs="Times New Roman"/>
          <w:color w:val="000000"/>
          <w:sz w:val="24"/>
          <w:szCs w:val="24"/>
        </w:rPr>
        <w:t>Briedes</w:t>
      </w:r>
      <w:proofErr w:type="spellEnd"/>
      <w:r>
        <w:rPr>
          <w:rFonts w:ascii="Times New Roman" w:hAnsi="Times New Roman" w:cs="Times New Roman"/>
          <w:color w:val="000000"/>
          <w:sz w:val="24"/>
          <w:szCs w:val="24"/>
        </w:rPr>
        <w:t xml:space="preserve"> zinātniskajā redakcijā. Tiesu namu aģentūra. 2013. 171.-172. lpp.</w:t>
      </w:r>
    </w:p>
  </w:footnote>
  <w:footnote w:id="7">
    <w:p w:rsidR="0062528A" w:rsidRDefault="0062528A" w:rsidP="0062528A">
      <w:pPr>
        <w:pStyle w:val="FootnoteText"/>
        <w:jc w:val="both"/>
        <w:rPr>
          <w:color w:val="000000"/>
          <w:sz w:val="24"/>
          <w:szCs w:val="24"/>
        </w:rPr>
      </w:pPr>
      <w:r>
        <w:rPr>
          <w:rStyle w:val="FootnoteReference"/>
          <w:color w:val="000000"/>
          <w:sz w:val="24"/>
          <w:szCs w:val="24"/>
        </w:rPr>
        <w:t>[7]</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Satversmes tiesas 2011. gada 11. janvāra sprieduma lietā Nr. 2010-40-03 10.1. apakšpunkts.</w:t>
      </w:r>
    </w:p>
  </w:footnote>
  <w:footnote w:id="8">
    <w:p w:rsidR="0062528A" w:rsidRDefault="0062528A" w:rsidP="0062528A">
      <w:pPr>
        <w:pStyle w:val="FootnoteText"/>
        <w:jc w:val="both"/>
        <w:rPr>
          <w:color w:val="000000"/>
          <w:sz w:val="24"/>
          <w:szCs w:val="24"/>
        </w:rPr>
      </w:pPr>
      <w:r>
        <w:rPr>
          <w:rStyle w:val="FootnoteReference"/>
          <w:color w:val="000000"/>
          <w:sz w:val="24"/>
          <w:szCs w:val="24"/>
        </w:rPr>
        <w:t>[8]</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Augstākās tiesas Senāta Administratīvo lietu departamenta 2010. gada 20. septembra lēmums lietā Nr. SKA-755/2010.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28A"/>
    <w:rsid w:val="0026011B"/>
    <w:rsid w:val="006252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72A7C0-2E22-4D78-9F5A-434F655B3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528A"/>
    <w:pPr>
      <w:spacing w:after="0" w:line="240" w:lineRule="auto"/>
    </w:pPr>
    <w:rPr>
      <w:rFonts w:ascii="Calibri" w:hAnsi="Calibri" w:cs="Calibri"/>
      <w:lang w:eastAsia="lv-LV"/>
    </w:rPr>
  </w:style>
  <w:style w:type="paragraph" w:styleId="Heading1">
    <w:name w:val="heading 1"/>
    <w:basedOn w:val="Normal"/>
    <w:link w:val="Heading1Char"/>
    <w:uiPriority w:val="9"/>
    <w:qFormat/>
    <w:rsid w:val="0062528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28A"/>
    <w:rPr>
      <w:rFonts w:ascii="Calibri" w:hAnsi="Calibri" w:cs="Calibri"/>
      <w:b/>
      <w:bCs/>
      <w:kern w:val="36"/>
      <w:sz w:val="48"/>
      <w:szCs w:val="48"/>
      <w:lang w:eastAsia="lv-LV"/>
    </w:rPr>
  </w:style>
  <w:style w:type="character" w:styleId="Hyperlink">
    <w:name w:val="Hyperlink"/>
    <w:basedOn w:val="DefaultParagraphFont"/>
    <w:uiPriority w:val="99"/>
    <w:semiHidden/>
    <w:unhideWhenUsed/>
    <w:rsid w:val="0062528A"/>
    <w:rPr>
      <w:color w:val="0000FF"/>
      <w:u w:val="single"/>
    </w:rPr>
  </w:style>
  <w:style w:type="paragraph" w:styleId="NormalWeb">
    <w:name w:val="Normal (Web)"/>
    <w:basedOn w:val="Normal"/>
    <w:uiPriority w:val="99"/>
    <w:semiHidden/>
    <w:unhideWhenUsed/>
    <w:rsid w:val="0062528A"/>
    <w:pPr>
      <w:spacing w:before="100" w:beforeAutospacing="1" w:after="100" w:afterAutospacing="1"/>
    </w:pPr>
  </w:style>
  <w:style w:type="paragraph" w:styleId="FootnoteText">
    <w:name w:val="footnote text"/>
    <w:basedOn w:val="Normal"/>
    <w:link w:val="FootnoteTextChar"/>
    <w:uiPriority w:val="99"/>
    <w:semiHidden/>
    <w:unhideWhenUsed/>
    <w:rsid w:val="0062528A"/>
  </w:style>
  <w:style w:type="character" w:customStyle="1" w:styleId="FootnoteTextChar">
    <w:name w:val="Footnote Text Char"/>
    <w:basedOn w:val="DefaultParagraphFont"/>
    <w:link w:val="FootnoteText"/>
    <w:uiPriority w:val="99"/>
    <w:semiHidden/>
    <w:rsid w:val="0062528A"/>
    <w:rPr>
      <w:rFonts w:ascii="Calibri" w:hAnsi="Calibri" w:cs="Calibri"/>
      <w:lang w:eastAsia="lv-LV"/>
    </w:rPr>
  </w:style>
  <w:style w:type="character" w:styleId="FootnoteReference">
    <w:name w:val="footnote reference"/>
    <w:basedOn w:val="DefaultParagraphFont"/>
    <w:uiPriority w:val="99"/>
    <w:semiHidden/>
    <w:unhideWhenUsed/>
    <w:rsid w:val="00625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48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manda.Murniece@tm.gov.l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4007</Words>
  <Characters>2285</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Aleksejeva</dc:creator>
  <cp:keywords/>
  <dc:description/>
  <cp:lastModifiedBy>Inese Aleksejeva</cp:lastModifiedBy>
  <cp:revision>1</cp:revision>
  <dcterms:created xsi:type="dcterms:W3CDTF">2020-06-16T06:20:00Z</dcterms:created>
  <dcterms:modified xsi:type="dcterms:W3CDTF">2020-06-16T06:21:00Z</dcterms:modified>
</cp:coreProperties>
</file>