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26-TA-466: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pārvaldē nodarbināto godprātības veicināšanas un interešu konflikta novēršanas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pārvaldē nodarbināto godprātības veicināšanas un interešu konflikta novēršanas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vairākos būtiskos jautājumos paredzēts vispārīgs regulējums, būtisku normu konkretizāciju deleģējot publiskas personas institūciju iekšējo normatīvo aktu līmenim. Šāda pieeja rada situāciju, kur vienas un tās pašas normas dažādās institūcijās var tikt interpretētas un piemērotas atšķirīgi, atkarībā no iestādes izstrādātajām procedūrām un pieejas. Tas īpaši attiecas uz iekšējās kontroles sistēmas saturu, interešu konflikta identificēšanu un risku pārvaldības mehānismiem. Nepietiekami konkrēts regulējums var radīt nevienveidīgu normu piemērošanu praksē un veicināt formālu prasību izpildi, kas neatbilst likumprojekta mērķim. Iesakām, precizēt likumprojekta regulējumu, nosakot skaidrākus pamatkritērijus vai minimālās prasības, kas nodrošinātu vienveidīgu normu piemērošanu visās institūcijās.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Ceriņa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r w:rsidR="00000000" w:rsidRPr="00000000" w:rsidDel="00000000">
              <w:rPr>
                <w:b w:val="1"/>
                <w:rtl w:val="0"/>
              </w:rPr>
              <w:t xml:space="preserve">šķietams interešu konflikts</w:t>
            </w:r>
            <w:r w:rsidR="00000000" w:rsidRPr="00000000" w:rsidDel="00000000">
              <w:rPr>
                <w:rtl w:val="0"/>
              </w:rPr>
              <w:t xml:space="preserve"> – situācija, kurā rodas šaubas par valsts pārvaldē nodarbinātā objektivitāti un neitralitāti, pildot amata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“šķietamā interešu konflikta” jēdziens ir pārlieku plašs un neskaidrs, jo tas balstās uz subjektīvu uztveri, nevis konkrēti konstatējamiem faktiem. Šāda pieeja rada risku, ka interešu konflikts tiek atzīts situācijās, kurās faktiska personiska ieinteresētība nepastāv.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jēdziena neskaidrība var novest pie nevienveidīgas piemērošanas prakses un nepamatotas amatpersonu rīcības ierobežošanas, kas neatbilst tiesiskās noteiktības principam. Lai nodrošinātu tiesisku un paredzamu regulējuma piemērošanu, “šķietamā interešu konflikta” tvērumam būtu jābūt skaidrāk definētam vai sasaistītam ar objektīviem kritērijiem, kas ļauj konstatēt reālu, nevis hipotētisku vai tikai uztverē balstītu interešu sadursmi.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Ceriņa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ne retāk kā reizi gadā un ne vēlāk kā mēneša laikā pēc stāšanās amatā nodarbināto apmācību un zināšanu pārbaudi par institūcijas uzvedības (ētikas) principiem, godprātības, korupcijas un interešu konflikta riskiem un nodarbināto pienākumiem šo risku mazināšanā;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rada situāciju,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vienota standarta apmācību saturam un kvalitātei;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KNAB likumā noteiktās metodiskās funkcijas faktiski tiek deleģētas citām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pieaug administratīvais slogs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regulējums var tikt piemērots nevienveidīgi.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Smirnovs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iebildums par lietderības un efektivitātes izvērtējuma trūkumu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likumprojekta ietvaros, ieviešot būtiskus regulējuma grozījumus un paplašinot institūcijām noteikto funkciju apjomu, ir nepieciešams veikt pienācīgu lietderības un efektivitātes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papildu pienākumus institūcijām interešu deklarāciju ieviešanas un kontroles jomā, tomēr nav sniegts izvērtējums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 funkciju ieviešanas ietekmi uz institūciju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nepieciešamajiem papildu cilvēkresursiem;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nepieciešamo finansējumu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pārvaldē šobrīd tiek īstenoti pasākumi finanšu līdzekļu un cilvēkresursu optimizācijai, papildu pienākumu uzlikšana bez atbilstoša resursu nodrošinājuma nav 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institūciju rīcībā jau šobrīd nav pietiekamu resursu pilnvērtīgai esošo funkciju īstenošanai, tostarp funkcijām, kuras noteiktas citos normatīvajos aktos (piemēram, korupcijas novēršanas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institūcijām papildus tiešajām funkcijām regulāri tiek deleģēti jauni uzdevumi no citām institūcijām, bez atbilstoša finansējuma un personāla palielinājuma.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situācijā pastāv risks,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jaunās prasības tiks izpildītas formāli;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samazināsies esošo funkciju izpildes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radīts nesamērīgs administratīvais slogs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regulējuma lietderību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skaidru resursu nodrošinājumu (finansiālo un cilvēkresursu);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arī attiecīgi pārskatīt paredzēto pienākumu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Smirnovs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valsts pārvaldē nodarbinātajam kļūst zināma informācija par interešu konflikta situācijām vai iespējamiem korupcijas gadījumiem, tas informē publiskas personas institūcijas vadītāju, Korupcijas novēršanas un apkarošanas biroju vai ģenerālprokuroru.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precizēt kritērijus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kritērijus, kas nosaka, kādos gadījumos informācija jāsniedz KNAB un Ģenerālprokuratūrai, lai nerastos pārmērīga administratīvā slodze un nenoteiktība. Pašreizējā redakcija var radīt situāciju, ka tiek ziņots par visiem gadījumiem, arī maznozīmīgiem, ko šīs institūcijas objektīvi nevar apstrādāt.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Smirnovs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ne retāk kā reizi trijos gados iekšējās kontroles sistēmas auditu, tai skaitā institūcijas līmeņa korupcijas un interešu risku novērtējuma atbilstību un efektivitāti.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par audita biežuma un pieejas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ka iekšējās kontroles sistēmas audits jāveic ne retāk kā reizi trijos gados, tomēr anotācijā nav sniegts šāda termiņa pamatojums, kā arī nav izvērtēta tā atbilstība institūciju atšķirīgajiem riska līmeņiem.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likumprojekts paredz riskos balstītu pieeju, taču attiecībā uz audita biežumu tā netiek konsekventi piemērota, jo visām institūcijām tiek noteikts vienots termiņš neatkarīgi no to darbības specifikas un riska profila.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nav noteikti vienoti audita kritēriji un metodoloģija, kas rada risku,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audits tiks veikts formāli;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piemērota atšķirīga pieeja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netiks nodrošināma rezultātu salīdzināmība un kvalitāte.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regulējumu, paredzot, ka iekšējās kontroles sistēmas audits tiek veikts atbilstoši institūcijas riska novērtējumam, nevis nosakot vienotu termiņu visām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nu noteikt elastīgu audita biežumu (piemēram, līdz pieciem gadiem atkarībā no riska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paredzēt diferencētu pieeju dažādām institūciju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vienotus audita kritērijus un metodoloģiju, lai nodrošinātu: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vienveidīgu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audita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rezultātu salīdzināmību.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Smirnovs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iekšējās kontroles sistēmas darbību, publiskas personas institūcijas vadītājs vai viņa pilnvarota persona var ieviest interešu deklarācijas institūcijā nodarbinātajiem. Interešu deklarācija ir paziņojums, kuru aizpilda un iesniedz valsts pārvaldē nodarbinātais, lai atklātu personiskās intereses, kas varētu radīt interešu konfliktu.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par regulējuma konkretizāciju un vienotu pieeju interešu deklarāciju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publiskas personas institūcijas vadītājs vai viņa pilnvarota persona var ieviest interešu deklarācijas institūcijā nodarbinātajiem, lai nodrošinātu interešu konflikta risku identificēšanu. Vienlaikus regulējums nav pietiekami konkrēts un nenosaka: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kādiem kritērijiem jāatbilst personām, kurām deklarācija jāiesniedz;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deklarācijā iekļaujamās informācijas minimālo un maksimālo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vienotus principus deklarāciju ieviešanai dažādās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rada risku, ka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pieprasīs atšķirīga apjoma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pārmērīgi paplašinās apstrādājamo datu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piemēros atšķirīgu praksi interešu deklarāciju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rezultātā var rasties: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nevienveidīga regulējuma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nesamērīgs administratīvais slogs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aizsardzības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vēršama uzmanība, ka regulējums neparedz mehānismu interešu deklarācijās sniegtās informācijas pārbaudei. Decentralizēta pieeja, kur katra institūcija izstrādā savus risinājumus vai individuāli sadarbojas ar datu turētājiem, var radīt: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sadrumstalotu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nevienotu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paaugstinātas izmaksas publiskajam sektoram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Iesakām: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normatīvajā regulējumā noteikt pamatprincipus: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personu loku vai kritērijus deklarēšanas pienākumam;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deklarējamo datu apjoma robežas (ievērojot datu minimizācijas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vienotus minimālos standartus regulējuma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vienota tehniskā risinājuma izveidi valstiskā līmenī, kas nodrošinātu: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deklarāciju iesniegšanu vienotā platformā;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pārbaudes iespējas institūciju pilnvarotām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integrāciju ar valsts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vienotus datu apstrādes un drošības standartus.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nodrošinātu vienotu regulējuma piemērošanu, efektīvāku interešu konflikta risku identificēšanu un samazinātu administratīvo slogu un izmaksas publiskajā sektorā.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Smirnovs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jau 2025. gada aprīlī iesniedza priekšlikumus attiecībā uz likumprojekta saturu, īpaši uzsverot nepieciešamību paredzēt izņēmuma regulējumu interešu konflikta novēršanā šaurās nozares jomās, piemēram, sociālo pakalpojumu, vardarbības prevencijas, dzimumu līdztiesības un metodikas izstrādes kontekstā. Iepazīstoties ar likumprojekta tekstu, secinām, ka minētie priekšlikumi tajā nav iekļauti, lai gan tie, mūsu ieskatā, ir būtiski kvalitatīvas politikas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regulējums (jauns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pants. Izņēmumi interešu konflikta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interešu konflikta situācija rodas saistībā ar metodikas izstrādi, pētījumu veikšanu vai apmācības procesa organizēšanu šaurās nozares jomās, kur kompetentu speciālistu skaits ir ierobežots, publiskas personas institūcijas vadītājs (viņa deleģētā persona vai komisija) var pieņemt lēmumu par interešu konflikta neesamību, ja tiek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objektīva lēmumu pieņemšana, pamatojoties uz dokumentētiem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lēmuma pieņemšanas procesā piedalās vismaz viena neatkarīga persona bez saistības ar potenciālajiem pretendentiem;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veikta interešu deklarācija un publiskota informācija par lēmuma pieņemšanas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Minētais izņēmums neattiecas uz lēmumiem par finanšu līdzekļu piešķiršanu, mantas nodošanu vai citiem darījumiem ar publiskas personas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Smirnovs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26-TA-466</w:t>
    </w:r>
    <w:r>
      <w:br/>
    </w:r>
    <w:r w:rsidR="00000000" w:rsidRPr="00000000" w:rsidDel="00000000">
      <w:rPr>
        <w:rtl w:val="0"/>
      </w:rPr>
      <w:t xml:space="preserve">Izdrukāts 12.06.2026. 16.24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26-TA-466</w:t>
    </w:r>
    <w:r>
      <w:br/>
    </w:r>
    <w:r w:rsidR="00000000" w:rsidRPr="00000000" w:rsidDel="00000000">
      <w:rPr>
        <w:rtl w:val="0"/>
      </w:rPr>
      <w:t xml:space="preserve">Izdrukāts 12.06.2026. 16.24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Atzinumi_26-TA-466.docx</dc:title>
</cp:coreProperties>
</file>

<file path=docProps/custom.xml><?xml version="1.0" encoding="utf-8"?>
<Properties xmlns="http://schemas.openxmlformats.org/officeDocument/2006/custom-properties" xmlns:vt="http://schemas.openxmlformats.org/officeDocument/2006/docPropsVTypes"/>
</file>