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23-TA-838: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valsts naftas produktu drošības rezervju pārvaldību”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valsts naftas produktu drošības rezervju pārvaldību”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saprotams projektam pievienotā konceptuālā ziņojuma projekta "Par valsts naftas produktu drošības rezervju pārvaldību" (turpmāk - konceptuālā ziņojuma projekts) 6. sadaļas “Turpmākā rīcība” 2. punkta saturs, proti, nav skaidrs, vai tas paredz, ka sabiedrība ar ierobežotu atbildību “Publisko aktīvu pārvaldītājs Possessor” (turpmāk – Possessor) no 2024. gada pārņem no Būvniecības valsts kontroles biroja (turpmāk - birojs) to publisko iepirkumu organizēšanu, kas jau ir uzsākti, vai to publisko iepirkumu organizēšanu, kas ir plānoti.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vērtēt šāda nosacījuma lietderību, ņemot vērā, ka konceptuālā ziņojuma projekta 6. sadaļas “Turpmākā rīcība” 1. punkts jau paredz, ka Possessor tiek noteikts kā turpmākais valsts naftas produktu drošības rezervju pārvaldītājs.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valsts naftas produktu drošības rezervju pārvaldību”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konceptuālā ziņojuma projekta nav saprotams, kādi tieši grozījumi Publiskas personas mantas atsavināšanas likumā un Likumā par budžetu un finanšu vadību nepieciešami. Proti, nav skaidrs, kādas funkcijas valsts naftas produktu drošības rezervju pārvaldības jautājumos konceptuālā ziņojuma projekts paredz saglabāt biroja kompetencē, kā arī vai un kurus no šajā kompetencē esošiem valsts pārvaldes uzdevumiem plānots deleģēt Possessor. Tāpat nav skaidrs, kāda plānota Possessor darbība privāto tiesību jomā attiecībā uz valsts naftas produktu drošības rezervju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konceptuālā ziņojuma projektu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Ekonomikas ministriju par atbildīgo institūciju 1.punktā minētā risinājuma ieviešanai.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projekta 2., 3. un 4. punktā ietverto </w:t>
            </w:r>
            <w:r w:rsidR="00000000" w:rsidRPr="00000000" w:rsidDel="00000000">
              <w:rPr>
                <w:u w:val="single"/>
                <w:rtl w:val="0"/>
              </w:rPr>
              <w:t xml:space="preserve">atsauci uz projekta 1.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Ekonomikas ministrijai līdz 2023. gada 30.septembrim sagatavot un iesniegt izskatīšanai Ministru kabinetā nepieciešamos likumprojektus 1. punktā minētā risinājuma ieviešanai.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2021. gada 7. septembra noteikumu Nr. 606 “Ministru kabineta kārtības rullis” 76. punktam ministrijas, īpašu uzdevumu ministra sekretariāta, Ministru prezidenta biedra biroja, Valsts kancelejas vai Ministru prezidenta padotībā esošas iestādes izstrādāto projektu izskatīšanai Ministru kabineta komitejas sēdē vai Ministru kabineta sēdē ir tiesīgs iesniegt </w:t>
            </w:r>
            <w:r w:rsidR="00000000" w:rsidRPr="00000000" w:rsidDel="00000000">
              <w:rPr>
                <w:u w:val="single"/>
                <w:rtl w:val="0"/>
              </w:rPr>
              <w:t xml:space="preserve">Ministru kabineta loceklis</w:t>
            </w:r>
            <w:r w:rsidR="00000000" w:rsidRPr="00000000" w:rsidDel="00000000">
              <w:rPr>
                <w:rtl w:val="0"/>
              </w:rPr>
              <w:t xml:space="preserve">. Ievērojot minēto, lūdzam atbilstoši precizēt projekta 4. punktu un konceptuālā ziņojuma projekta 6. sadaļas “Turpmākā rīcība” 6.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valsts naftas produktu drošības rezervju pārvaldību”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2011. gada 19. aprīļa noteikumu Nr. 312 “Enerģijas lietotāju apgādes un kurināmā pārdošanas kārtība izsludinātas enerģētiskās krīzes laikā un valsts apdraudējuma gadījumā” 2. punkts noteic, ka lēmuma projektu par valsts enerģētiskās krīzes līmeni sagatavo Valsts enerģētiskās krīzes centrs (turpmāk – centrs), bet par vietējās enerģētiskās krīzes līmeni – attiecīgās pašvaldības enerģētiskās krīzes centrs. Savukārt centra pienākumu izsludinātas valsts enerģētiskās krīzes laikā vai arī tās draudu gadījumā vadīt krīzes novēršanas un krīzes izraisīto seku likvidēšanas pasākumus noteic Ministru kabineta 2022. gada 29. janvāra noteikumu Nr. 40 “Valsts enerģētiskās krīzes centra nolikums” 2.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konceptuālā ziņojuma projekta 2.2. sadaļas “Latvijas drošības rezervju pārvaldības modelis” trešo rindkopu.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23-TA-838</w:t>
    </w:r>
    <w:r>
      <w:br/>
    </w:r>
    <w:r w:rsidR="00000000" w:rsidRPr="00000000" w:rsidDel="00000000">
      <w:rPr>
        <w:rtl w:val="0"/>
      </w:rPr>
      <w:t xml:space="preserve">Izdrukāts 24.04.2023. 14.34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23-TA-838</w:t>
    </w:r>
    <w:r>
      <w:br/>
    </w:r>
    <w:r w:rsidR="00000000" w:rsidRPr="00000000" w:rsidDel="00000000">
      <w:rPr>
        <w:rtl w:val="0"/>
      </w:rPr>
      <w:t xml:space="preserve">Izdrukāts 24.04.2023. 14.34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Atzinumi_23-TA-838.docx</dc:title>
</cp:coreProperties>
</file>

<file path=docProps/custom.xml><?xml version="1.0" encoding="utf-8"?>
<Properties xmlns="http://schemas.openxmlformats.org/officeDocument/2006/custom-properties" xmlns:vt="http://schemas.openxmlformats.org/officeDocument/2006/docPropsVTypes"/>
</file>