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4.3.3.3.pasākuma “Atbalsts sociālajai uzņēmējdarbībai”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 mikrouzņēmumi, mazie vai vidējie uzņēmumi, tai skaitā kooperatīvie uzņēmumi, sociālie uzņēmumi, kas saņēmuši atbalstu, tai skaitā sasniedzamā vērtība līdz 2029. gadam – 148, un starpposma sasniedzamā vērtība līdz 2024. gada 31. decembrim – 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Skaidrībai lūdzam dzēst vārdus "tai skaitā sasniedzamā vērtība līdz 2029. gadam", ņemot vērā, ka termiņš jau ir norādīts 4.punktā, kā arī salāgojot redakciju ar 4.2. un 4.3. apakšpunktos norādītajiem rādītājiem.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nacionālais rādītājs – šo noteikumu </w:t>
            </w:r>
            <w:r w:rsidR="00000000" w:rsidRPr="00000000" w:rsidDel="00000000">
              <w:rPr>
                <w:rtl w:val="0"/>
              </w:rPr>
              <w:t xml:space="preserve">3.3.</w:t>
            </w:r>
            <w:r w:rsidR="00000000" w:rsidRPr="00000000" w:rsidDel="00000000">
              <w:rPr>
                <w:rtl w:val="0"/>
              </w:rPr>
              <w:t xml:space="preserve"> apakšpunktā minēto atbalstīto personu skaits – 140, tai skaitā līdz 2024. gada 31. decembrim – 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nacionālie rādītāji Kohēzijas politikas fondu vadības informācijas sistēmā tiks ievadīti atbilstoši Ministru kabineta noteikumos norādītajām redakcijām, lūdzam skaidrībai precizēt 4.2. un 4.3. apakšpunktos norādīto rādītāju nosaukumus, aizvietojot vārdus "šo noteikumu 3.3. apakšpunktā minēto" ar konkrētu mērķa grupas nosaukumu (sociālās atstumtības riskam pakļautās iedzīvotāju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pretendētu uz šo noteikumu </w:t>
            </w:r>
            <w:r w:rsidR="00000000" w:rsidRPr="00000000" w:rsidDel="00000000">
              <w:rPr>
                <w:rtl w:val="0"/>
              </w:rPr>
              <w:t xml:space="preserve">13.1.</w:t>
            </w:r>
            <w:r w:rsidR="00000000" w:rsidRPr="00000000" w:rsidDel="00000000">
              <w:rPr>
                <w:rtl w:val="0"/>
              </w:rPr>
              <w:t xml:space="preserve"> apakšpunktā minēto finanšu atbalstu, sociālie uzņēmumi un sociālās uzņēmējdarbības uzsācēji iesniedz sadarbības partnerim finanšu atbalsta pieteikumu, biznesa plānu un citu ar tā īstenošanu saistīto informāciju, ja nepieciešams. Ja tiek pieņemts lēmums par finanšu atbalsta piešķiršanu, sadarbības partneris: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lūdzam izvērtēt Eiropas Savienības fondu 2021.—2027. gada plānošanas perioda vadības likuma 22. pantā ietverto izslēgšanas nosacījumu uzskaitījumu, un papildināt noteikumu projektu ar tiem izslēgšanas nosacījumiem, kas Sociālā uzņēmuma likumā nav minēti kā prasības sociālā uzņēmuma statusa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sociālās uzņēmējdarbības uzsācēji būtu vērtējami atbilstoši izslēgšanas nosacījumiem, ņemot vērā, ka tiem tiks piešķirts finanšu atbalsts (analogi kā finansējuma saņēmējam, kuram tiek piešķirts grants). Vēršam uzmanību, ka, lai aizsargātu Eiropas Savienības finanšu intereses un nodrošinātu drošu finanšu vadību, nav pieļaujams, ka Eiropas Savienības finanšu līdzekļi tiek piešķirti dalībniekiem, kas atbilst kādam no izslēgšanas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Ar komercdarbības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2023.gada 25.oktobrī ir tikusi grozīta Komisijas regula Nr.1407/2013 (https://eur-lex.europa.eu/legal-content/LV/TXT/?uri=CELEX:02013R1407-20231025), lūdzam ņemt to vērā attiecībā uz noteikumos ietverto atsauci uz Komisijas regulas Nr.1407/2013 1.panta 1.punktu, izstrādājot iekšējās kārtības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Ja tiek pārkāptas šajos noteikumos noteiktās komercdarbības atbalsta kontroles normas, tostarp nosacījumi, kas izriet no Komisijas regulas Nr.1407/2013, Komisijas regulas Nr. 717/2014 vai Komisijas regulas Nr. 1408/2013,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aktuālajai Eiropas Savienības tiesu judikatūrai atbilstošu pienākumu atgūt tikai nelikumīgo komercdarbības atbalstu, aicinām noteikumu 90.punktu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komercdarbības atbalsta kontroles normas, kas izriet no Komisijas regulas Nr.1407/2013, gala labuma guvējam ir pienākums atmaksāt atbalsta sniedzējam visu projekta ietvaros saņemto nelikumīgo de minimis atbalstu kopā ar procentiem no līdzekļiem, kas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33.3. apakšpunktā kontekstā ar 33. punkta ievaddaļā noteikto, lūdzam norādīt anotācijas 8.1.13. apakšsadaļā, ka arī </w:t>
            </w:r>
            <w:r w:rsidR="00000000" w:rsidRPr="00000000" w:rsidDel="00000000">
              <w:rPr>
                <w:u w:val="single"/>
                <w:rtl w:val="0"/>
              </w:rPr>
              <w:t xml:space="preserve">sadarbības partneris</w:t>
            </w:r>
            <w:r w:rsidR="00000000" w:rsidRPr="00000000" w:rsidDel="00000000">
              <w:rPr>
                <w:rtl w:val="0"/>
              </w:rPr>
              <w:t xml:space="preserve"> paraksta apliecinājumu par interešu konflikta neesamību, izvērtējot nepieciešamību atbilstoši konkretizēt arī noteikumu projekta 33.3.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dati tiek uzkrāti un uzglabāti ne tikai Kohēzijas politikas fondu vadības informācijas sistēmā. Finansējums saņēmējs, īstenojot projektu, arī uzkrāj minētos datus un uzglabā projekta īstenošanas vietā. Dati, kas tiek iesniegti Kohēzijas politikas fondu vadības informācijas sistēmā, tiek uzkrāti, lai izpildītu Eiropas Komisijas normatīvo aktu prasības. Par datu uzglabāšanu Kohēzijas politikas fondu vadības informācijas sistēmā ir noteikts regulējums minētajos Ministru kabineta 2022. gada 13. decembra noteikumos Nr.770 “Kārtība, kādā Eiropas Savienības fondu 2021.–2027. gada plānošanas periodā nodrošina ieguldījumu uzraudzību un izvērtēšanu, kā arī izstrādā un uztur Kohēzijas politikas fondu vadības informācijas sistēmu” un par to ir atbildīga sadarbības iestāde. Tā kā minētie noteikumi neregulē kārtību attiecībā uz finansējuma saņēmēju, lūdzam pēc nepieciešamības precizēt anotācijas 8.1.13. apakšsadaļā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23-TA-902</w:t>
    </w:r>
    <w:r>
      <w:br/>
    </w:r>
    <w:r w:rsidR="00000000" w:rsidRPr="00000000" w:rsidDel="00000000">
      <w:rPr>
        <w:rtl w:val="0"/>
      </w:rPr>
      <w:t xml:space="preserve">Izdrukāts 01.12.2023. 22.40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23-TA-902</w:t>
    </w:r>
    <w:r>
      <w:br/>
    </w:r>
    <w:r w:rsidR="00000000" w:rsidRPr="00000000" w:rsidDel="00000000">
      <w:rPr>
        <w:rtl w:val="0"/>
      </w:rPr>
      <w:t xml:space="preserve">Izdrukāts 01.12.2023. 22.40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Atzinumi_23-TA-902.docx</dc:title>
</cp:coreProperties>
</file>

<file path=docProps/custom.xml><?xml version="1.0" encoding="utf-8"?>
<Properties xmlns="http://schemas.openxmlformats.org/officeDocument/2006/custom-properties" xmlns:vt="http://schemas.openxmlformats.org/officeDocument/2006/docPropsVTypes"/>
</file>