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 pasākuma ietvaros ir valsts tiešās pārvaldes iestāde, kuras darbības mērķis ir sekmēt Latvijas uzņēmumu konkurētspēju un eksportspēju starptautiskajos tirgos, veicināt biznesa ideju attīstību un uzņēmumu rašanos, zināšanu ietilpīgu preču un pakalpojumu attīstību uzņēmumiem un eksportu, veicināt ārvalstu investīciju apjoma pieaugumu, īstenot tūrisma attīstības valsts politiku un valsts politiku inovāciju jomā un veicināt Latvijas pozitīvu starptautisko atpazīstamību;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anotācijā, lūdzam noteikumu projekta 2.1. apakšpunktā dzēst vārdus </w:t>
            </w:r>
            <w:r w:rsidR="00000000" w:rsidRPr="00000000" w:rsidDel="00000000">
              <w:rPr>
                <w:i w:val="1"/>
                <w:rtl w:val="0"/>
              </w:rPr>
              <w:t xml:space="preserve">"īstenot tūrisma attīstības valsts politiku"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saņēmējam ir jāuzkrāj dati par Viedās specializācijas stratēģijas (RIS3) jomā atbalstītajiem komersantiem, ievadot tos reizi ceturksnī Kohēzijas politikas fondu vadības informācijas sistēmā (turpmāk - KPVIS).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11. punktu, izsakot to šādā redakcijā: </w:t>
            </w:r>
            <w:r w:rsidR="00000000" w:rsidRPr="00000000" w:rsidDel="00000000">
              <w:rPr>
                <w:i w:val="1"/>
                <w:rtl w:val="0"/>
              </w:rPr>
              <w:t xml:space="preserve">"Finansējuma saņēmējam ir jāuzkrāj dati par Viedās specializācijas stratēģijas (RIS3) jomā atbalstītajiem komersantiem, ievadot tos Kohēzijas politikas fondu vadības informācijas sistēmā (turpmāk - KPVIS)"</w:t>
            </w:r>
            <w:r w:rsidR="00000000" w:rsidRPr="00000000" w:rsidDel="00000000">
              <w:rPr>
                <w:rtl w:val="0"/>
              </w:rPr>
              <w:t xml:space="preserve">. Lūdzam attiecīgi precizēt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69.4. piesaistīto ārvalstu tūristu skaitu atbalstītajos pasākumos (starptautiskās konferences);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"tūristu" ar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ir informēts par Regulas Nr. 2018/1046, Eiropas Parlamenta un padomes 2014. gada 26. februāra direktīvas Nr. 2014/24/ES 2014/24/ES par publisko iepirkumu un ar ko atceļ Direktīvu 2004/18/EK, likuma “Par interešu konflikta novēršanu valsts amatpersonu darbībā” un Eiropas Komisijas 2021. gada 9.aprīļa paziņojuma Nr. C/2021/2119 Norādījumu par izvairīšanos no interešu konfliktiem un to pārvaldību saskaņā ar Finanšu regulu un apņemas tās ievērot;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pieņem zināšanai noteikumu projekta anotācijā, kā arī izziņas 519.punktā sniegto skaidrojumu attiecībā uz noteikumu projekta 70.1.apakšpunktā paredzēto apliecinājuma nepieciešamību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aicinām vērtēt, vai tomēr nebūtu iespējams rast juridiski korektu risinājumu šobrīd noteikumu projekta 70.1.apakšpunktā iekļautās atsauces uz Eiropas Parlamenta un Padomes 2014. gada 26. februāra direktīvu Nr.2014/24/ES par publisko iepirkumu un ar ko atceļ Direktīvu 2004/18/EK, atspoguļošanai, ņemot vērā, ka minētā direktīva Latvijas tiesību aktos ir pārņemta ar Publisko iepirkumu likumu, kā arī to, ka ES direktīvas pēc būtības nav tieši piemērojami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normas tekstā ir tehniska neprecizitāte - divas reizes pēc kārtas minēts direktīvas 2014/24/ES numurs.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70.2.5. kārtību, kādā finansējuma saņēmējs pārbauda interešu konflikta, krāpšanas, korupcijas riska un dubultā finansējuma novēršanas mehānismu gala labuma guvēju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apakšpunktu šādi:</w:t>
            </w:r>
            <w:r w:rsidR="00000000" w:rsidRPr="00000000" w:rsidDel="00000000">
              <w:rPr>
                <w:i w:val="1"/>
                <w:rtl w:val="0"/>
              </w:rPr>
              <w:t xml:space="preserve"> "kārtību, kādā finansējuma saņēmējs pārbauda interešu konflikta, krāpšanas, korupcijas riska un dubultā finansējuma neesamību gala labuma guvēju līmenī</w:t>
            </w:r>
            <w:r w:rsidR="00000000" w:rsidRPr="00000000" w:rsidDel="00000000">
              <w:rPr>
                <w:rtl w:val="0"/>
              </w:rPr>
              <w:t xml:space="preserve">;". Lūdzam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iesūtītos aprēķinus un anotācijā iekļauto aprakstu par vienoto likmi personāla atlīdzības izmaksām, rosinām precizēt anotāciju, svītrojot informāciju, ka likmes aprēķinā izmantots LIAA Eiropas Savienības struktūrfondu un Kohēzijas fonda 2014.—2020. gada plānošanas perioda īstenoto programmu ietvertais atalgojums, kā arī atsauci uz atalgojuma reformu, kas LIAA stāsies spēkā no 2023. gada 1.jūlija, un aizstāt to ar atsauci uz Atlīdzības likumu un saistošajiem MK noteikumiem, ņemot vērā, ka likmes pamatojums ir balstīts uz nacionālo normatīvo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Atbildīgā iestāde ir atbildīga par šajos noteikumos noteikto nacionālo rādītāju uzraudzību atbilstoši </w:t>
            </w:r>
            <w:r w:rsidR="00000000" w:rsidRPr="00000000" w:rsidDel="00000000">
              <w:rPr>
                <w:i w:val="1"/>
                <w:rtl w:val="0"/>
              </w:rPr>
              <w:t xml:space="preserve">"Vadlīnijām Ministru kabineta noteikumu par specifiskā atbalsta mērķa īstenošanu izstrādei Eiropas Savienības fondu 2021.—2027. gada plānošanas periodā"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norādīts, ka pasākuma īstenošanai </w:t>
            </w:r>
            <w:r w:rsidR="00000000" w:rsidRPr="00000000" w:rsidDel="00000000">
              <w:rPr>
                <w:u w:val="single"/>
                <w:rtl w:val="0"/>
              </w:rPr>
              <w:t xml:space="preserve">Finanšu ministrija</w:t>
            </w:r>
            <w:r w:rsidR="00000000" w:rsidRPr="00000000" w:rsidDel="00000000">
              <w:rPr>
                <w:rtl w:val="0"/>
              </w:rPr>
              <w:t xml:space="preserve">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 Savukārt noteikumu projektā ir skaidrots, ka finansējuma saņēmējs ir valsts tiešās pārvaldes iestāde, kuras darbības mērķis ir sekmēt Latvijas uzņēmumu konkurētspēju un eksportspēju starptautiskajos tirgos, veicināt biznesa ideju attīstību un uzņēmumu rašanos, zināšanu ietilpīgu preču un pakalpojumu attīstību uzņēmumiem un eksportu, veicināt ārvalstu investīciju apjoma pieaugumu, īstenot tūrisma attīstības valsts politiku un valsts politiku inovāciju jomā un veicināt Latvijas pozitīvu starptautisko atpazīstamību. Ievērojot, ka </w:t>
            </w:r>
            <w:r w:rsidR="00000000" w:rsidRPr="00000000" w:rsidDel="00000000">
              <w:rPr>
                <w:u w:val="single"/>
                <w:rtl w:val="0"/>
              </w:rPr>
              <w:t xml:space="preserve">minētais darbības mērķis ir Latvijas Investīciju un attīstības aģentūrai</w:t>
            </w:r>
            <w:r w:rsidR="00000000" w:rsidRPr="00000000" w:rsidDel="00000000">
              <w:rPr>
                <w:rtl w:val="0"/>
              </w:rPr>
              <w:t xml:space="preserve">, lūdzam skaidrot kā ir plānots nodrošināt nepieciešamo finansējumu aģentūrai, ja finansējumu no 80.00.00 programmas pieprasīs Finanšu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un atgriezt no anotācijas 3.sadaļās "Tiesību akta projekta ietekme uz valsts budžetu un pašvaldību budžetiem" 7.punkta "Amata vietu skaita izmaiņas" svītroto informāciju par projektā paredzētajām amata vietām, bet lūdzam neiekļaut izsvītroto informāciju par aprēķina piemēriem.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projektā paredzētas 78 amata vietas, kas netiks veidotas kā jaunas amata vietas, bet tiks turpinātas kā projekta vadība un īstenošana, pārņemot funkcijas no ES struktūrfondu un Kohēzijas fonda 2014.-2020.gada plānošanas perioda šajā ES struktūrfondu plānošanas periodā, nosakot terminētu laika rāmi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plānots administrēšanas personāls ar 31 amata vietu un īstenošanas personāls ar 47 amata vietām.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30.06.2023.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30.06.2023.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