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kalkulācijā iekļauts – atalgojums un valsts sociālās apdrošināšanas obligātās iemaksas (atbilstoši  atlīdzības likuma 3.pielikumā attiecīgajai mēnešalgu grupai paredzētajam mēnešalgas minimumam). Lūdzam izvērtēt kalkulācijā iekļautās mēnešalgas pārskatīšanu un noteikšanu virs attiecīgajai mēnešalgu grupai paredzētā mēnešalgas minimuma, ņemot vērā, ka mēnešalgu skala ik gadu tiek pārskatīta, un tas rada risku, ka turpmākajos gados kalkulācijā iekļautās mēnešalgas būs zem mēnešalgu skalas minimuma. Vēršam uzmanību, ka Valsts kancelejas tīmekļvietnē jau ir publicēta mēnešalgu skala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09.05.2023.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09.05.2023.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