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Komisijas regulas Nr. </w:t>
            </w:r>
            <w:r w:rsidR="00000000" w:rsidRPr="00000000" w:rsidDel="00000000">
              <w:rPr>
                <w:rtl w:val="0"/>
              </w:rPr>
              <w:t xml:space="preserve">2</w:t>
            </w:r>
            <w:r w:rsidR="00000000" w:rsidRPr="00000000" w:rsidDel="00000000">
              <w:rPr>
                <w:rtl w:val="0"/>
              </w:rPr>
              <w:t xml:space="preserve">023/2831 1. panta pirmās daļas "a", "b", "c", "e" un "f" apakšpunktā noteiktajai nozarei un darbībai, ja aizdevumu piešķir saskaņā ar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punktu papildināt ar atsauci arī uz Eiropas Komisijas 2023. gada 13. decembra Regulas (ES) Nr. 2023/2831 par Līguma par Eiropas Savienības darbību 107. un 108. panta piemērošanu de minimis atbalstam 1. panta pirmās daļas "d" apakšpunktu, uz kura ieviešanu norādīts arī noteikumu projekta anotācijas 5.4. 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Aizdevumu saskaņā ar Komisijas regulu Nr. </w:t>
            </w:r>
            <w:r w:rsidR="00000000" w:rsidRPr="00000000" w:rsidDel="00000000">
              <w:rPr>
                <w:rtl w:val="0"/>
              </w:rPr>
              <w:t xml:space="preserve">2</w:t>
            </w:r>
            <w:r w:rsidR="00000000" w:rsidRPr="00000000" w:rsidDel="00000000">
              <w:rPr>
                <w:rtl w:val="0"/>
              </w:rPr>
              <w:t xml:space="preserve">023/2831, Komisijas regulu Nr. </w:t>
            </w:r>
            <w:r w:rsidR="00000000" w:rsidRPr="00000000" w:rsidDel="00000000">
              <w:rPr>
                <w:rtl w:val="0"/>
              </w:rPr>
              <w:t xml:space="preserve">1408/2013</w:t>
            </w:r>
            <w:r w:rsidR="00000000" w:rsidRPr="00000000" w:rsidDel="00000000">
              <w:rPr>
                <w:rtl w:val="0"/>
              </w:rPr>
              <w:t xml:space="preserve"> vai Komisijas regulu Nr. </w:t>
            </w:r>
            <w:r w:rsidR="00000000" w:rsidRPr="00000000" w:rsidDel="00000000">
              <w:rPr>
                <w:rtl w:val="0"/>
              </w:rPr>
              <w:t xml:space="preserve">717/2014</w:t>
            </w:r>
            <w:r w:rsidR="00000000" w:rsidRPr="00000000" w:rsidDel="00000000">
              <w:rPr>
                <w:rtl w:val="0"/>
              </w:rPr>
              <w:t xml:space="preserve"> nepiešķir grūtībās nonākušam saimnieciskās darbības veicējam, kuram ar tiesas spriedumu ir pasludināts maksātnespējas process, tiek īstenots tiesiskās aizsardzības process, ar tiesas lēmumu tiek īstenots ārpustiesas tiesiskās aizsardzības process, ir uzsākta bankrota procedūra, piemērota sanācija vai mierizlīgums, kura saimnieciskā darbība ir izbeigta vai kurš atbilst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atbilstoši Maksātnespējas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dzēšot norādi uz ārpustiesas tiesiskās aizsardzības procesu, jo tas nav patstāvīgs procesa veids, bet gan tiesiskās aizsardzības procesa paveids;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dzēšot, precizējot vai arī skaidrojot atsauci uz sanāciju un mierizlīgumu, jo šādi maksātnespējas risinājumi nav paredzēti spēkā esošajā Maksātnespējas likumā, bet bija paredzēti Maksātnespējas likumā, kas bija spēkā līdz 2010. gada 31. oktobrim un likumā "Par uzņēmumu un uzņēmējsabiedrību maksātnespēju".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31.01.2024.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31.01.2024.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Atzinumi_24-TA-94.docx</dc:title>
</cp:coreProperties>
</file>

<file path=docProps/custom.xml><?xml version="1.0" encoding="utf-8"?>
<Properties xmlns="http://schemas.openxmlformats.org/officeDocument/2006/custom-properties" xmlns:vt="http://schemas.openxmlformats.org/officeDocument/2006/docPropsVTypes"/>
</file>