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tehnisko vai īpašo noteikumu izdošanas termiņu samazināšanu un lūdz tiem piemērot esošos nosacījumus. Viens no tehnisko vai īpašo noteikumu izdošanas mērķiem, kā arī būvprojekta saskaņošanas mērķiem, ir nodrošināt drošu būvniecības procesu, kā arī būvniecības gala rezultātu – drošu būvi. Neizvērtēta un nepamatota noteikumu izdošanas termiņu samazināšana var ietekmēt šo noteikumu kvalitāti. Valsts institūciju noteikumu izdošanas termiņu samazinājums var atstāt ietekmi uz budžeta līdzekļiem, jo šādam nolūkam var būt nepieciešams finanšu resursu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izsniegtu tehniskos un īpašos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izvērtēta piedāvātā risinājuma atbilstība normatīvajiem aktiem, tostarp teritorijas plānojuma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objekta iespējamā ietekme uz valsts autoceļu perspektīviem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plānotajiem blakus esošajiem būvniecības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citiem dokumentiem, kas saistīti ar plānoto apbūvi un tās iespējamo ietekmi uz valsts autoceļu;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novērtēta pieprasītā piekļuve īpašumam, tostarp to iespējamā ietekme uz tuvumā esošajiem īpašumiem un reģistrēto ceļu pievienojumu valsts autoceļam;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novērtēta atbilstība plānotajiem risinājumiem un to noteiktās kategorijas 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novērtēts objekta izmantošanai nepieciešamo inženiertīklu izvietojums;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objekta ūdensnovades sistēmu ietekme uz valsts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apkopojot visu ar objekta izbūvi saistīto informāciju un valsts autoceļa plāniem, tiek izvērtēta nepieciešamība objekta apskatei uz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visa minētā tiek sagatavoti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pārvalda 20 tūkst. km valsts autoceļu, gadā visā autoceļu tīklā izsniedz vairāk kā 3000 tehniskos noteikumus un vairāk kā 2000 būvprojektu saskaņojumus.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norādītais arguments, ka VSIA “Latvijas Valsts ceļi” vidējais tehnisko noteikumu izdošanas termiņš ir 11 dienas, nav pamatojums tehnisko noteikumu izdošanas termiņa samazinājumam, jo 11 dienas atspoguļo tikai vidējos rādītājus valstī. Šie rādītāji ir ļoti atšķirīgi Rīgas reģionam, kur daudz aktīvāka saimnieciskā darbība, nekā attālākos valsts novados.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pie galvenajiem valsts autoceļiem un reģionālajiem valsts autoceļiem ar satiksmes intensitāti virs 5000 automašīnām diennaktī , VSIA “Latvijas Valsts ceļi” vidēji mēnesī izdod 40 - 50 tehniskos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tehniskie noteikumu sarežģītība pēc satura var būt ļoti dažāda.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27.</w:t>
            </w:r>
            <w:r w:rsidR="00000000" w:rsidRPr="00000000" w:rsidDel="00000000">
              <w:rPr>
                <w:vertAlign w:val="superscript"/>
                <w:rtl w:val="0"/>
              </w:rPr>
              <w:t xml:space="preserve">1 </w:t>
            </w:r>
            <w:r w:rsidR="00000000" w:rsidRPr="00000000" w:rsidDel="00000000">
              <w:rPr>
                <w:rtl w:val="0"/>
              </w:rPr>
              <w:t xml:space="preserve">un 27.</w:t>
            </w:r>
            <w:r w:rsidR="00000000" w:rsidRPr="00000000" w:rsidDel="00000000">
              <w:rPr>
                <w:vertAlign w:val="superscript"/>
                <w:rtl w:val="0"/>
              </w:rPr>
              <w:t xml:space="preserve">2 </w:t>
            </w:r>
            <w:r w:rsidR="00000000" w:rsidRPr="00000000" w:rsidDel="00000000">
              <w:rPr>
                <w:rtl w:val="0"/>
              </w:rPr>
              <w:t xml:space="preserve">punktā būvniecības ieceres īstenošanas izdošanas termiņu noteikt 20 darbadienas 10 darbadienu vietā, kā arī noteikumu projekta 27.</w:t>
            </w:r>
            <w:r w:rsidR="00000000" w:rsidRPr="00000000" w:rsidDel="00000000">
              <w:rPr>
                <w:vertAlign w:val="superscript"/>
                <w:rtl w:val="0"/>
              </w:rPr>
              <w:t xml:space="preserve">3 </w:t>
            </w:r>
            <w:r w:rsidR="00000000" w:rsidRPr="00000000" w:rsidDel="00000000">
              <w:rPr>
                <w:rtl w:val="0"/>
              </w:rPr>
              <w:t xml:space="preserve">punktā būvprojektu saskaņošanas vai atteikuma gadījumā noteikt, ka to saskaņo saprātīgā termiņā, bet ne ilgāk kā 30 darbadienu laikā pēc būvprojekta saņemšanas 15 darbadienu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20 darbadienu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20 darbadienu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30 darbadienu laikā pēc būvprojekta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21.12.2023.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21.12.2023.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