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"Līdz ar to ir nepieciešams precizēt MK noteikumu Nr. 199 70.</w:t>
            </w:r>
            <w:r w:rsidR="00000000" w:rsidRPr="00000000" w:rsidDel="00000000">
              <w:rPr>
                <w:vertAlign w:val="superscript"/>
                <w:rtl w:val="0"/>
              </w:rPr>
              <w:t xml:space="preserve">9</w:t>
            </w:r>
            <w:r w:rsidR="00000000" w:rsidRPr="00000000" w:rsidDel="00000000">
              <w:rPr>
                <w:rtl w:val="0"/>
              </w:rPr>
              <w:t xml:space="preserve"> punkta normu, nosakot, ka izlases veidā tiks pārbaudīta atbilstība šo noteikumu 70.3 1., 70.3 2. un </w:t>
            </w:r>
            <w:r w:rsidR="00000000" w:rsidRPr="00000000" w:rsidDel="00000000">
              <w:rPr>
                <w:u w:val="single"/>
                <w:rtl w:val="0"/>
              </w:rPr>
              <w:t xml:space="preserve">70.</w:t>
            </w:r>
            <w:r w:rsidR="00000000" w:rsidRPr="00000000" w:rsidDel="00000000">
              <w:rPr>
                <w:u w:val="single"/>
                <w:vertAlign w:val="superscript"/>
                <w:rtl w:val="0"/>
              </w:rPr>
              <w:t xml:space="preserve">4</w:t>
            </w:r>
            <w:r w:rsidR="00000000" w:rsidRPr="00000000" w:rsidDel="00000000">
              <w:rPr>
                <w:u w:val="single"/>
                <w:rtl w:val="0"/>
              </w:rPr>
              <w:t xml:space="preserve"> punktā</w:t>
            </w:r>
            <w:r w:rsidR="00000000" w:rsidRPr="00000000" w:rsidDel="00000000">
              <w:rPr>
                <w:rtl w:val="0"/>
              </w:rPr>
              <w:t xml:space="preserve">, kā arī 70.</w:t>
            </w:r>
            <w:r w:rsidR="00000000" w:rsidRPr="00000000" w:rsidDel="00000000">
              <w:rPr>
                <w:vertAlign w:val="superscript"/>
                <w:rtl w:val="0"/>
              </w:rPr>
              <w:t xml:space="preserve">2</w:t>
            </w:r>
            <w:r w:rsidR="00000000" w:rsidRPr="00000000" w:rsidDel="00000000">
              <w:rPr>
                <w:rtl w:val="0"/>
              </w:rPr>
              <w:t xml:space="preserve"> punktā minētajām prasībām, nevis šo noteikumu 70.</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u w:val="single"/>
                <w:rtl w:val="0"/>
              </w:rPr>
              <w:t xml:space="preserve">70.</w:t>
            </w:r>
            <w:r w:rsidR="00000000" w:rsidRPr="00000000" w:rsidDel="00000000">
              <w:rPr>
                <w:u w:val="single"/>
                <w:vertAlign w:val="superscript"/>
                <w:rtl w:val="0"/>
              </w:rPr>
              <w:t xml:space="preserve">4</w:t>
            </w:r>
            <w:r w:rsidR="00000000" w:rsidRPr="00000000" w:rsidDel="00000000">
              <w:rPr>
                <w:u w:val="single"/>
                <w:rtl w:val="0"/>
              </w:rPr>
              <w:t xml:space="preserve"> punktā</w:t>
            </w:r>
            <w:r w:rsidR="00000000" w:rsidRPr="00000000" w:rsidDel="00000000">
              <w:rPr>
                <w:rtl w:val="0"/>
              </w:rPr>
              <w:t xml:space="preserve"> minētajām prasībām." Saistībā ar minēto vēršam uzmanību, ka joprojām tiks pārbaudīta atbilstība 70.</w:t>
            </w:r>
            <w:r w:rsidR="00000000" w:rsidRPr="00000000" w:rsidDel="00000000">
              <w:rPr>
                <w:vertAlign w:val="superscript"/>
                <w:rtl w:val="0"/>
              </w:rPr>
              <w:t xml:space="preserve">4</w:t>
            </w:r>
            <w:r w:rsidR="00000000" w:rsidRPr="00000000" w:rsidDel="00000000">
              <w:rPr>
                <w:rtl w:val="0"/>
              </w:rPr>
              <w:t xml:space="preserve"> punkta prasībām, bet faktiski papildus tiks pārbaudīta atbilstība  70.</w:t>
            </w:r>
            <w:r w:rsidR="00000000" w:rsidRPr="00000000" w:rsidDel="00000000">
              <w:rPr>
                <w:vertAlign w:val="superscript"/>
                <w:rtl w:val="0"/>
              </w:rPr>
              <w:t xml:space="preserve">2</w:t>
            </w:r>
            <w:r w:rsidR="00000000" w:rsidRPr="00000000" w:rsidDel="00000000">
              <w:rPr>
                <w:rtl w:val="0"/>
              </w:rPr>
              <w:t xml:space="preserve"> punkta prasībām, tādēļ lūdzam precizēt anotācijā ietverto informāciju, nepieciešamības gadījumā precizējot arī noteikumu projektu. Lūdzam arī visos gadījumos, ja kādai pārbaudei (bez 70.</w:t>
            </w:r>
            <w:r w:rsidR="00000000" w:rsidRPr="00000000" w:rsidDel="00000000">
              <w:rPr>
                <w:vertAlign w:val="superscript"/>
                <w:rtl w:val="0"/>
              </w:rPr>
              <w:t xml:space="preserve">3</w:t>
            </w:r>
            <w:r w:rsidR="00000000" w:rsidRPr="00000000" w:rsidDel="00000000">
              <w:rPr>
                <w:rtl w:val="0"/>
              </w:rPr>
              <w:t xml:space="preserve">3 apakšpunktā minētās) nav praktiskas nepieciešamības, anotācijā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ieviests vismaz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1.panta 3. punktā un 2. panta 18. punktā ietvertais regulējums, lūdzam aizpildīt noteikumu projekta anotācijas 5. sadaļu, norādot minētās regulas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Ministru kabineta 2017. gada 4. aprīļa noteikumu Nr.199 “Noteikumi par dabasgāzes apriti un akcīzes nodokļa piemērošanas kārtību” (turpmāk – noteikumi) 70.</w:t>
            </w:r>
            <w:r w:rsidR="00000000" w:rsidRPr="00000000" w:rsidDel="00000000">
              <w:rPr>
                <w:vertAlign w:val="superscript"/>
                <w:rtl w:val="0"/>
              </w:rPr>
              <w:t xml:space="preserve">7</w:t>
            </w:r>
            <w:r w:rsidR="00000000" w:rsidRPr="00000000" w:rsidDel="00000000">
              <w:rPr>
                <w:rtl w:val="0"/>
              </w:rPr>
              <w:t xml:space="preserve">2. apakšpunktu, kas šajā normā paredz papildu regulējumu par Lauku atbalsta dienesta lēmuma pagarināšanu, nepieciešams precizēt atbilstoši Administratīvā procesa likumā noteiktajam regulējumam. Vēršam uzmanību, ka gan sākotnējais lēmums, gan piešķirto tiesību pagarinājums būs divi atsevišķi administratīvie akti, proti, pagarināt var nevis lēmumu, bet ar sākotnējo lēmumu piešķirtās tiesības. Tieslietu ministrija var pieļaut, ka tiesību pagarinājumu kā lēmumu var izdot uz atvieglotiem nosacījumiem, bet tas nemaina pieņemamo lēmumu procesuālo būtību. Vienlaikus noteikumu projekta anotācijā jāsniedz izvērsta informācija par piešķirto tiesību pagarināšanas procedūrām un to atbilstību Administratīvā procesa likumā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gadījumos, kad dabasgāzes apjoma starpība ir pozitīva, proti, dabasgāzes galalietotāja deklarētais patērētās dabasgāzes apjoms ir mazāks par faktiski patērēto, </w:t>
            </w:r>
            <w:r w:rsidR="00000000" w:rsidRPr="00000000" w:rsidDel="00000000">
              <w:rPr>
                <w:u w:val="single"/>
                <w:rtl w:val="0"/>
              </w:rPr>
              <w:t xml:space="preserve">tā iemesla dēļ, ka nevar precīzi pateikt, kurā taksācijas periodā starpība veidojusies</w:t>
            </w:r>
            <w:r w:rsidR="00000000" w:rsidRPr="00000000" w:rsidDel="00000000">
              <w:rPr>
                <w:rtl w:val="0"/>
              </w:rPr>
              <w:t xml:space="preserve"> un, lai neradītu zaudējumus valsts budžetā nesaņemtā akcīzes nodokļa veidā, akcīzes nodokļa aprēķinam ir piemērojama akcīzes nodokļa likme, kura ir spēkā starpības konstatēšanas brīdī. Vēršam uzmanību, ka pazīme, ka nevar precīzi pateikt, kurā taksācijas periodā starpība veidojusies, nav iekļauta noteikumu projektā. Attiecīgi lūdzam sniegt pamatojumu, kādēļ tas nav nepieciešams, vai precizēt (papildināt) noteikumu projektu. Noteikumu projekta precizēšanas gadījumā lūdzam arī skaidrot, kāda ir piemērojamā akcīzes nodokļa likme gadījumos, kad var precīzi noteikt, kurā taksācijas periodā starpība veidojusies.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18.06.2026.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18.06.2026.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Atzinumi_26-TA-542.docx</dc:title>
</cp:coreProperties>
</file>

<file path=docProps/custom.xml><?xml version="1.0" encoding="utf-8"?>
<Properties xmlns="http://schemas.openxmlformats.org/officeDocument/2006/custom-properties" xmlns:vt="http://schemas.openxmlformats.org/officeDocument/2006/docPropsVTypes"/>
</file>