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izvērtēt adinistratīvo slogu un atbilstības prasības fiziskām vai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likumu ar 58.</w:t>
            </w:r>
            <w:r w:rsidR="00000000" w:rsidRPr="00000000" w:rsidDel="00000000">
              <w:rPr>
                <w:vertAlign w:val="superscript"/>
                <w:rtl w:val="0"/>
              </w:rPr>
              <w:t xml:space="preserve">6</w:t>
            </w:r>
            <w:r w:rsidR="00000000" w:rsidRPr="00000000" w:rsidDel="00000000">
              <w:rPr>
                <w:rtl w:val="0"/>
              </w:rPr>
              <w:t xml:space="preserve"> pantu, kurā iekļauta prasība saņemt Aizsardzības ministrijas piekrišanu nekustamā īpašuma atsavināšanai konkrētai personai, lai novērstu nacionālo drošību apdraudošu vai potenciāli apdraudošu ietekmi uz valsts sauszemes teritorijas aizsardzības uzdevumu izpildi. Aizliegums atsavināt nekustamo īpašumu bez Aizsardzības ministrijas piekrišanas ierakstāms zemesgrāmatā, pamatojoties uz Aizsardzības ministrijas nostiprinājuma lūgumu. Papildus tam, pantā ir noteikts veids piekrišanas saņemšanai, proti, iesnieguma iesniegšana, kas ir informācijas sniegšanas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tiesību aktā iekļauto informācijas sniegšanas pienākumu un atbilstības prasību vērtējumu un atbilstoši vērtējumam veikt administratīvo izmaksu un atbilstības izmaksu monetāru novērtējumu, kas aizpildāms par fiziskām un juridiskām personām anotācijas 2. sadaļas 2.3.,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informāciju izziņā, vēršu uzmanību, ka anotācijas 2. un 3. sadaļas pilda atšķirīgas funkcijas. Līdz ar to abas sadaļas nav uzskatāmas par vienu un to pašu, un abām jābūt aizpildītām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19.11.2025.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19.11.2025.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Atzinumi_24-TA-1951.docx</dc:title>
</cp:coreProperties>
</file>

<file path=docProps/custom.xml><?xml version="1.0" encoding="utf-8"?>
<Properties xmlns="http://schemas.openxmlformats.org/officeDocument/2006/custom-properties" xmlns:vt="http://schemas.openxmlformats.org/officeDocument/2006/docPropsVTypes"/>
</file>