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kompetentām institūcijām un rīcību ar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nekustamo īpašumu nepārņem saskaņā ar šo noteikumu 9.1. apakšpunktu un tā sastāvā ietilpst valstij piekritīgā zeme – Vides aizsardzības un reģionālās attīstības ministrijai, Zemkopības ministrijai, Ekonomikas ministrijai vai Satiksmes ministrijai saskaņā ar likumu “Par valsts un pašvaldību zemes īpašuma tiesībām un to nostiprināšanu zemesgrāmatās” un Meža likumu ierakstīšanai zemesgrāmatā uz valsts vārda attiecīgās ministrijas personā;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1.jūlija Vides aizsardzības un reģionālās attīstības ministrija pārdēvēta par Viedās administrācijas un reģionālās attīstības ministriju, lūdzam, veikt attiecīgus precizējumus 9.2.apakšpunktā un 10.punktā.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Reitere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1.jūlija Vides aizsardzības un reģionālās attīstības ministrija pārdēvēta par Viedās administrācijas un reģionālās attīstības ministriju, lūdzam, veikt attiecīgus precizējumus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Reitere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29.07.2024.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29.07.2024.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Atzinumi_24-TA-807.docx</dc:title>
</cp:coreProperties>
</file>

<file path=docProps/custom.xml><?xml version="1.0" encoding="utf-8"?>
<Properties xmlns="http://schemas.openxmlformats.org/officeDocument/2006/custom-properties" xmlns:vt="http://schemas.openxmlformats.org/officeDocument/2006/docPropsVTypes"/>
</file>