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25-TA-417: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28. jūlija noteikumos Nr. 494 "Šautuvju izveidošanas un darbības, kā arī treniņšaušanas un šaušanas sporta sacensību norises un drošības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Šautuvju izveidošanas un darbības, kā arī treniņšaušanas un šaušanas sporta sacensību norises un drošības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iepriekš izteiktie iebildumi pēc būtības nav ņemti vērā, tie tiek uzturēti.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saskaņā ar Ieroču aprites likuma 69.panta trešo punktu A kategorijas automātiskos šaujamieročus un to munīciju ir atļauts izmantot tikai trešās kategorijas šautuvēs. Ņemot vērā automātisko šaujamieroču bīstamību Ministru kabineta 2020.gada 28.jūlija noteikumos Nr.494 "Šautuvju izveidošanas un darbības, kā arī treniņšaušanas un šaušanas sporta sacensību norises un drošības noteikumi" ir ietvertas drošības prasības, kas attiecas uz automātiskajiem šaujamieročiem, proti, speciālais regulējums. Projekta sākotnējās ietekmes novērtējuma ziņojumā nav sniegts skaidrojums, kāpēc attiecīgo noteikumu 10.8. un 10.9.apakšpunktā ietverto regulējumu nepieciešams attiecināt tikai uz automātiskās darbības garstobra-vītņstobra šaujamieročiem automātiskajā režīmā, tādējādi samazinot drošības prasības gadījumos, kad tiek veikta šaušana ar tiem pašiem automātiskās darbības garstobra-vītņstobra šaujamieročiem pusautomātiskajā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Iekšlietu ministrija nepiekrīt sākotnējās ietekmes novērtējuma ziņojumā norādītajam, ka: </w:t>
            </w:r>
            <w:r w:rsidR="00000000" w:rsidRPr="00000000" w:rsidDel="00000000">
              <w:rPr>
                <w:i w:val="1"/>
                <w:rtl w:val="0"/>
              </w:rPr>
              <w:t xml:space="preserve">“Ieroču aprites likuma sākotnējās ietekmes novērtējuma ziņojumā (anotācijā) ietvertā informācija neliecina par to, ka 95. pantā ir bijis plānots noteikt pilnvarojumu NBS un pārējām 94. pantā norādītajām iestādēm noteikt atsevišķas šautuvju izveidošanas prasības. Tādējādi NBS nav tiesīgs sašaurināt Ministru kabineta noteiktās prasības savām šautuvēm, kurās tiktu izmantoti automātiskās darbības garstobra-vītņstobra šaujamieroči.”</w:t>
            </w:r>
            <w:r w:rsidR="00000000" w:rsidRPr="00000000" w:rsidDel="00000000">
              <w:rPr>
                <w:rtl w:val="0"/>
              </w:rPr>
              <w:t xml:space="preserve"> Vēršama uzmanība, ka atbilstoši Ieroču aprites likuma 95.pantam, šā likuma 94. pantā minētajām valsts un pašvaldību institūcijām ir tiesības izveidot šautuves bez pašvaldības atļaujas atbilstoši šo institūciju darbību reglamentējošiem normatīvajiem aktiem. Tādējādi Nacionālie bruņotie spēki, ņemot vērā Ieroču aprites likuma 95.pantā ietverto tiesisko regulējumu, var izdot iekšējo normatīvo attiecībā uz šautuves ierīkošanu un darbību, tai skaitā drošības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vienotu izpratni un vienotos par projekta tālāko virzību, aicinām izvērtēt iespēju rīkot saskaņošanas sanāksmi.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Rancāne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Šautuvju izveidošanas un darbības, kā arī treniņšaušanas un šaušanas sporta sacensību norises un drošības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Aizsardzības ministrijas veiktos precizējumus projektā var konstatēt, ka Iekšlietu ministrijas un Valsts policijas iebildumi netika ņemti vērā un izvērtēti pēc būtības. Ņemot vērā minēto, aicinām organizēt starpinstitūciju sanāksmi, lai konceptuāli rastu risinājumu dažādai tiesību normu interpretācijai, kā arī vienotos par projektā ietveramo regulējumu un tā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Melkers (VP)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25-TA-417</w:t>
    </w:r>
    <w:r>
      <w:br/>
    </w:r>
    <w:r w:rsidR="00000000" w:rsidRPr="00000000" w:rsidDel="00000000">
      <w:rPr>
        <w:rtl w:val="0"/>
      </w:rPr>
      <w:t xml:space="preserve">Izdrukāts 14.05.2025. 11.31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25-TA-417</w:t>
    </w:r>
    <w:r>
      <w:br/>
    </w:r>
    <w:r w:rsidR="00000000" w:rsidRPr="00000000" w:rsidDel="00000000">
      <w:rPr>
        <w:rtl w:val="0"/>
      </w:rPr>
      <w:t xml:space="preserve">Izdrukāts 14.05.2025. 11.31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Atzinumi_25-TA-417.docx</dc:title>
</cp:coreProperties>
</file>

<file path=docProps/custom.xml><?xml version="1.0" encoding="utf-8"?>
<Properties xmlns="http://schemas.openxmlformats.org/officeDocument/2006/custom-properties" xmlns:vt="http://schemas.openxmlformats.org/officeDocument/2006/docPropsVTypes"/>
</file>