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22-TA-2941: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1.2. reformu un investīciju virziena “Energoefektivitātes uzlabošana” 1.2.1.4.i. investīcijas “Energoefektivitātes uzlabošana valsts sektora ēkās, t.sk. vēsturiskajās ēkās”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pirmajā posmā, iesniedzot projekta iesniegumu, netiks norādīts katra projekta kopējais finansējums un sasniedzamie rādītāji atbilstoši MK noteikumu projekta 5.3.2.apakšpunktam, lūdzam precizēt MK noteikumu projektu un paredzēt, ka Centrālā finanšu un līgumu aģentūra (CFLA) sākotnēji slēgs līgumus vai vienošanos ar projekta iesniedzējiem tikai par avansa vai priekšfinansējuma apjomu ar līguma/vienošanās īstenošanas termiņu 18 mēneši (tehniskās dokumentācijas izstrādes termiņš) un MK noteikumu projekta 5.4.apakšpunktā norādīto nacionālo rādītāju. Savukārt, pēc tehniskās dokumentācijas izstrādes un Ekonomikas ministrijas un Kultūras ministrijas atzinuma, kurā tiks norādīta atļauja turpināt īstenot projektus un katra projekta līguma summa un sasniedzamie rezultāti atbilstoši MK noteikumu projekta 5.3.2.apakšpunktam, CFLA veiks attiecīgus līguma/vienošanās grozījumus, bet ar pārējiem projektiem, kuru īstenošana netiks turpināta atbilstoši attiecīgajam atzinumam, līgumi/ vienošanās netiks grozīti un projekti tiks pabeigti, sasniedzot tikai nacionālo rādītāju. Lūdzam atbilstoši precizēt MK noteikumu projekta 26., 28., 44., 45. un 46.punktu, atsevišķi arī atrunājot skaidrus nosacījumus attiecībā uz diviem augstas gatavības projektiem. Vienlaikus vēršam uzmanību uz risku nesasniegt MK noteikumu projekta 5.3.1.apakšpunktā norādīto mērķi, ņemot vērā šobrīd MK noteikumu projektā norādītos termiņus projekta iesnieguma iesniegšanai, projektu vērtēšanai, līgumu slēgšanai par avansa/priekšfinansējuma apmēru un tehniskās dokumentācijas izstrādes laiku, kā arī uz risku nesasniegt  MK noteikumu projekta 5.2.1.apakšpunktā norādīto uzraudzības rādītāju, ja par diviem augstas gatavības projektiem pēc projektu vērtēšanas uzreiz netiks slēgts līgums. Attiecīgi lūdzam papildināt/precizēt anotāciju.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Zvirgzdiņa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Piešķirot finansējumu jānodrošina, ka projektu īstenošanas rezultātā vidēji investīcijas ietvaros tiek sasniegts 30 % kopējās primārās enerģijas ietaupījums ar vidēju restaurācijas, pārbūves vai atjaunošanas pamatīguma pakāpi ēkai (ēku grupai).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projekta 14.punktu, norādot, kam attiecīgais pienākums ir jānodrošina, ņemot vērā, ka nevaram piekrist Ekonomikas ministrijas sniegtajam skaidrojumam, kas tika sniegt MK noteikumu projekta neformālā saskaņošanas procesa ietvaros. Vēršam uzmanību, ka šis pienākums nevar tik attiecināts uz visām iestādēm (Ekonomikas ministriju, Kultūras ministriju un Centrālo finanšu un līgumu aģentūru), bet gan atbildīgais par  MK noteikumu projekta 14.punktā minēto būtu tas, kurš īstenos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Projekta iesniedzējs četru mēnešu laikā pēc uzaicinājuma saņemšanas iesniedz projekta iesniegumu vadības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izteikt punktu šādā redakcijā: </w:t>
            </w:r>
            <w:r w:rsidR="00000000" w:rsidRPr="00000000" w:rsidDel="00000000">
              <w:rPr>
                <w:i w:val="1"/>
                <w:rtl w:val="0"/>
              </w:rPr>
              <w:t xml:space="preserve">"Projekta iesniedzējs četru mēnešu laikā pēc uzaicinājuma saņemšanas iesniedz projekta iesniegumu vadības informācijas sistēmā, iekļaujot tajā šādu informāciju:"</w:t>
            </w:r>
            <w:r w:rsidR="00000000" w:rsidRPr="00000000" w:rsidDel="00000000">
              <w:rPr>
                <w:rtl w:val="0"/>
              </w:rPr>
              <w:t xml:space="preserve">, papildinot to ar 21. punkta apakšpunktiem.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28.5. avansa maksājuma vai</w:t>
            </w:r>
            <w:r w:rsidR="00000000" w:rsidRPr="00000000" w:rsidDel="00000000">
              <w:rPr>
                <w:b w:val="1"/>
                <w:rtl w:val="0"/>
              </w:rPr>
              <w:t xml:space="preserve"> </w:t>
            </w:r>
            <w:r w:rsidR="00000000" w:rsidRPr="00000000" w:rsidDel="00000000">
              <w:rPr>
                <w:rtl w:val="0"/>
              </w:rPr>
              <w:t xml:space="preserve">priekšfinansējuma piešķiršanas kārtību, nosakot, ka piešķiramā avansa summa vai priekšfinansējums nav lielāks par 10 % no paredzamās būvdarbu līguma summas (ar PVN) un to paredzēts izlietot atbilstoši šo noteikumu </w:t>
            </w:r>
            <w:r w:rsidR="00000000" w:rsidRPr="00000000" w:rsidDel="00000000">
              <w:rPr>
                <w:rtl w:val="0"/>
              </w:rPr>
              <w:t xml:space="preserve">32.1.</w:t>
            </w:r>
            <w:r w:rsidR="00000000" w:rsidRPr="00000000" w:rsidDel="00000000">
              <w:rPr>
                <w:rtl w:val="0"/>
              </w:rPr>
              <w:t xml:space="preserve"> un </w:t>
            </w:r>
            <w:r w:rsidR="00000000" w:rsidRPr="00000000" w:rsidDel="00000000">
              <w:rPr>
                <w:rtl w:val="0"/>
              </w:rPr>
              <w:t xml:space="preserve">32.2. </w:t>
            </w:r>
            <w:r w:rsidR="00000000" w:rsidRPr="00000000" w:rsidDel="00000000">
              <w:rPr>
                <w:rtl w:val="0"/>
              </w:rPr>
              <w:t xml:space="preserve">apakšpunktā</w:t>
            </w:r>
            <w:r w:rsidR="00000000" w:rsidRPr="00000000" w:rsidDel="00000000">
              <w:rPr>
                <w:rtl w:val="0"/>
              </w:rPr>
              <w:t xml:space="preserve"> noteiktajam, sagatavojot tehnisko dokumentāciju astoņpadsmit mēnešu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apakšpunktu, dzēšot informāciju par priekšfinansējumu, jo to nenodrošia CFLA, vienlaikus vēršam uzmanību, ka šajā apakšpunktā norādītais avansa apmērs ir pretrunā ar noteikuma projekta 52.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 nodrošina projekta iesniegumā paredzēto rādītāju uzskaiti un datu ievadi, kas sekmē šo noteikumu </w:t>
            </w:r>
            <w:r w:rsidR="00000000" w:rsidRPr="00000000" w:rsidDel="00000000">
              <w:rPr>
                <w:rtl w:val="0"/>
              </w:rPr>
              <w:t xml:space="preserve">5.2.2.</w:t>
            </w:r>
            <w:r w:rsidR="00000000" w:rsidRPr="00000000" w:rsidDel="00000000">
              <w:rPr>
                <w:rtl w:val="0"/>
              </w:rPr>
              <w:t xml:space="preserve"> un </w:t>
            </w:r>
            <w:r w:rsidR="00000000" w:rsidRPr="00000000" w:rsidDel="00000000">
              <w:rPr>
                <w:rtl w:val="0"/>
              </w:rPr>
              <w:t xml:space="preserve">5.3.2. </w:t>
            </w:r>
            <w:r w:rsidR="00000000" w:rsidRPr="00000000" w:rsidDel="00000000">
              <w:rPr>
                <w:rtl w:val="0"/>
              </w:rPr>
              <w:t xml:space="preserve">apakšpunktā</w:t>
            </w:r>
            <w:r w:rsidR="00000000" w:rsidRPr="00000000" w:rsidDel="00000000">
              <w:rPr>
                <w:rtl w:val="0"/>
              </w:rPr>
              <w:t xml:space="preserve"> un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minētā rādītāja sasniegšanu, un sasniegto rādītāju pamatojošo dokumentu iesniegšanu vadības informācijas sistēmā ne biežāk kā divas reizes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projekta 43.6.apakšpunktu, iekļaujot tajā atsauci arī uz MK noteikumu projekta 5.4.apakšpunktu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Zvirgzdiņa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Finansējuma saņēmējs, kas ir tiešās pārvaldes iestāde, normatīvajos tiesību aktos finansējuma piešķiršanas jomā paredzētā kārtībā var saņemt priekšfinansējumu projekta īstenošanai. Pārējie finansējuma saņēmēji, kas ir privāto tiesību juridiska persona, var saņemt avansu projekta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redakcionāli precizēt MK noteikumu projekta 51.punkta pirmo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Finansējuma saņēmējs, kas ir tiešās pārvaldes iestāde,</w:t>
            </w:r>
            <w:r w:rsidR="00000000" w:rsidRPr="00000000" w:rsidDel="00000000">
              <w:rPr>
                <w:u w:val="single"/>
                <w:rtl w:val="0"/>
              </w:rPr>
              <w:t xml:space="preserve"> normatīvajos aktos noteiktajā kārtībā</w:t>
            </w:r>
            <w:r w:rsidR="00000000" w:rsidRPr="00000000" w:rsidDel="00000000">
              <w:rPr>
                <w:rtl w:val="0"/>
              </w:rPr>
              <w:t xml:space="preserve"> var saņemt valsts budžeta  priekšfinansējumu projekta īstenošanai. Pārējie finansējuma saņēmēji, kas ir privāto tiesību juridiska persona, var saņemt avansu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Finansējuma saņēmējs var saņemt: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projekta 52.punktu, kurš pēc būtības nosaka avansa izmaksas nosacījumus, svītrojot no minētā punkta un tā apakšpunktiem informāciju par priekšfinansējumu. Vēršam uzmanību, ka, ja finansējuma saņēmēji ir valsts pārvaldes iestādes, tām avansa maksājumi netiek plānoti, jo tām ir iespējams saņemt priekšfinansējumu, pieprasot to no valsts budžeta, attiecīgi avansa maksājums un priekšfinansējums nav viens un tas pats, un MK noteikumu projekta 52.punktā minētie nosacījumi nebūtu attiecināmi uz priekšfinansējumu.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 avansa maksājumu vai priekšfinansējumu 30 % apmērā no projektam piešķirtā Atveseļošanas fonda finansējuma vairākos maksājumos, t.sk. 10 % apmērā avanss vai priekšfinansējums tiek piešķirts saskaņā ar šo noteikumu </w:t>
            </w:r>
            <w:r w:rsidR="00000000" w:rsidRPr="00000000" w:rsidDel="00000000">
              <w:rPr>
                <w:rtl w:val="0"/>
              </w:rPr>
              <w:t xml:space="preserve">28.5. </w:t>
            </w:r>
            <w:r w:rsidR="00000000" w:rsidRPr="00000000" w:rsidDel="00000000">
              <w:rPr>
                <w:rtl w:val="0"/>
              </w:rPr>
              <w:t xml:space="preserve">apakšpunktu</w:t>
            </w:r>
            <w:r w:rsidR="00000000" w:rsidRPr="00000000" w:rsidDel="00000000">
              <w:rPr>
                <w:rtl w:val="0"/>
              </w:rPr>
              <w:t xml:space="preserve"> ievērojot, ka nākamo avansa maksājumu  vai priekšfinansējumu var saņemt pēc tam, kad iepriekšējais apgūts pilnā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52.1. apakšpunktu šādā redakcijā: </w:t>
            </w:r>
            <w:r w:rsidR="00000000" w:rsidRPr="00000000" w:rsidDel="00000000">
              <w:rPr>
                <w:i w:val="1"/>
                <w:rtl w:val="0"/>
              </w:rPr>
              <w:t xml:space="preserve">"avansa maksājumu 30 % apmērā no projektam piešķirtā Atveseļošanas fonda finansējuma vairākos maksājumos, t.sk. 10 % apmērā avanss tiek piešķirts saskaņā ar šo noteikumu 28.5. apakšpunktu ievērojot, ka nākamo avansa maksājumu var saņemt pēc tam, kad iepriekšējais apgūts pilnā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 noslēguma maksājumu, sasniedzot šo noteikumu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minēto mērķi.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apakšpunktu, izsakot to šādā redakcijā: </w:t>
            </w:r>
            <w:r w:rsidR="00000000" w:rsidRPr="00000000" w:rsidDel="00000000">
              <w:rPr>
                <w:i w:val="1"/>
                <w:rtl w:val="0"/>
              </w:rPr>
              <w:t xml:space="preserve">"noslēguma maksājumu, sasniedzot šo noteikumu 1. pielikumā norādīto katram projektam aprēķināto sasniedzamo mērķi"</w:t>
            </w:r>
            <w:r w:rsidR="00000000" w:rsidRPr="00000000" w:rsidDel="00000000">
              <w:rPr>
                <w:rtl w:val="0"/>
              </w:rPr>
              <w:t xml:space="preserve">. Lūdzu šo priekšlikumu skatīt kopā ar sniegto priekšlikumu pie noteikumu projekta 21.2.1. 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Šo noteikumu </w:t>
            </w:r>
            <w:r w:rsidR="00000000" w:rsidRPr="00000000" w:rsidDel="00000000">
              <w:rPr>
                <w:rtl w:val="0"/>
              </w:rPr>
              <w:t xml:space="preserve">52.1. </w:t>
            </w:r>
            <w:r w:rsidR="00000000" w:rsidRPr="00000000" w:rsidDel="00000000">
              <w:rPr>
                <w:rtl w:val="0"/>
              </w:rPr>
              <w:t xml:space="preserve">apakšpunktā</w:t>
            </w:r>
            <w:r w:rsidR="00000000" w:rsidRPr="00000000" w:rsidDel="00000000">
              <w:rPr>
                <w:rtl w:val="0"/>
              </w:rPr>
              <w:t xml:space="preserve"> minētie avansa maksājumu vai priekšfinansējuma, un šo noteikumu </w:t>
            </w:r>
            <w:r w:rsidR="00000000" w:rsidRPr="00000000" w:rsidDel="00000000">
              <w:rPr>
                <w:rtl w:val="0"/>
              </w:rPr>
              <w:t xml:space="preserve">52.2. </w:t>
            </w:r>
            <w:r w:rsidR="00000000" w:rsidRPr="00000000" w:rsidDel="00000000">
              <w:rPr>
                <w:rtl w:val="0"/>
              </w:rPr>
              <w:t xml:space="preserve">apakšpunktā</w:t>
            </w:r>
            <w:r w:rsidR="00000000" w:rsidRPr="00000000" w:rsidDel="00000000">
              <w:rPr>
                <w:rtl w:val="0"/>
              </w:rPr>
              <w:t xml:space="preserve"> minētā starpposma maksājumu kopsumma nepārsniedz 90 % no projektam piešķirtā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52.1. apakšpunktā minēto avansa maksājumu un šo noteikumu 52.2. apakšpunktā minēto starpposma maksājumu kopsumma nepārsniedz 90 % no projektam piešķirtā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noteikumu projekta 57.2.punkts paredz, ka finansējumu finansējuma saņēmējam piešķir, ja ēkā ne mazāk kā 85 % gadījumu ir paredzēta kultūras pakalpojumu sniegšana Latvijas Republikas teritorijā esošajiem pakalpojuma lietotājiem, lai novērstu pretrunu ar anotācijā skaidroto, lūdzam no anotācijas svītrot teikuma daļu “-kultūras pakalpojumu sniedzēji ir tikai tādi komersanti, kas darbojas vietējā (Latvijas valsts) mērogā.”.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1.3.sadaļā sniegto informāciju par PVN izdevumu segšanu no valsts budžeta 1.pielikuma 1.punktā minētajam projektam, ņemot vērā, ka VSIA “Latvijas Nacionālā opera un balets” nav valsts budžeta iestāde, bet gan kapitālsabiedrība, kura valsts budžeta finansējumu var saņemt konkrēta nacionālā pasūtījuma īstenošanai, kā arī 2., 3., 4., 6. un 10.punktā minētajiem projektiem, ja finansējuma saņēmējs būs valsts akciju sabiedrība "Valsts nekustamie īpašumi", kas ir arī projekta iesniedzējs. Attiecīgi lūdzam sniegt pamatojumu  PVN izdevumu segšanai no valsts budžeta VSIA “Latvijas Nacionālā opera un balets” un valsts akciju sabiedrībai "Valsts nekustamie īpašumi".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"Nosacījumi projekta iesniedzējam un finansējuma saņēmējam" ir noteikts, ka "veicot energoefektivitātes pasākumus atbilstoši  noteikumu projekta attiecināmajām izmaksām, finansējuma saņēmējam ir jānodrošina, ka par katriem 5376,12 euro publiskā finansējuma tiek nodrošināts 1 MWh/ gadā kopējās primārās enerģijas ietaupījums vidēji 1.2.1.4.i. investīcijas ietvaros īstenojamos projektos.".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precizēt, ka par katriem 5376,12 euro atveseļošanās fonda finansējuma (nevis publiskā finansējuma) tiek nodrošināts 1 MWh/ gadā kopējās primārās enerģijas ietaupījums (kopējais publiskais finansējums 28 735 222 euro / 5376.12 = 5344.97 MWh/gadā; Atveseļošanas fonda finansējums 23 956 000 euro / 5376.12 = 4456 MWh/gadā, kā 5.3.2.punktā).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Minētais nosacījums ir jāsasniedz vidēji 1.2.1.4.i. investīcijas ietvaros īstenojamos projektos, nevis katrā projektā atsevišķi. Norādām, ka projekta iesniedzēji un finansējuma saņēmēji var nodrošināt tikai to, kas paredzēts konrēti viņu projektā, bet nevar nodrošināt citu finansējuma saņēmēju projektos paredzēto. Līdz ar to lūdzam precizēt, ka minētā nosacījuma uzraudzību nodrošinās EM, bet finansējuma saņēmēji nodrošinās projekta līmenī. Nepieciešamības gadījumā lūdzam pārcelt šo nosacījumu uz citu sadaļu, vai precizēt, ka nosacījuma izpilde ir jānodrošina katrā projektā atsevišķi, nevis vidēji projektos.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"Veicot energoefektivitātes pasākumus atbilstoši  noteikumu projekta attiecināmajām izmaksām, finansējuma saņēmējam ir jānodrošina, ka par katriem 5376,12 euro atveseļošanās fonda finansējuma tiek nodrošināts 1 MWh/ gadā kopējās primārās enerģijas ietaupījums vidēji 1.2.1.4.i. investīcijas ietvaros īstenojamos projektos."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Ozols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anotācijā norādīto projektu īstenošanas termiņu ar AF izdevumu attiecināmības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22-TA-2941</w:t>
    </w:r>
    <w:r>
      <w:br/>
    </w:r>
    <w:r w:rsidR="00000000" w:rsidRPr="00000000" w:rsidDel="00000000">
      <w:rPr>
        <w:rtl w:val="0"/>
      </w:rPr>
      <w:t xml:space="preserve">Izdrukāts 05.06.2023. 21.51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22-TA-2941</w:t>
    </w:r>
    <w:r>
      <w:br/>
    </w:r>
    <w:r w:rsidR="00000000" w:rsidRPr="00000000" w:rsidDel="00000000">
      <w:rPr>
        <w:rtl w:val="0"/>
      </w:rPr>
      <w:t xml:space="preserve">Izdrukāts 05.06.2023. 21.51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Atzinumi_22-TA-2941.docx</dc:title>
</cp:coreProperties>
</file>

<file path=docProps/custom.xml><?xml version="1.0" encoding="utf-8"?>
<Properties xmlns="http://schemas.openxmlformats.org/officeDocument/2006/custom-properties" xmlns:vt="http://schemas.openxmlformats.org/officeDocument/2006/docPropsVTypes"/>
</file>