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Ekonomikas ministrijas izstrādāto noteikumu projektu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(turpmāk – Noteikumu projektu) un aicina nodrošināt finansējuma pieejamību procesu digitalizācijai arī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Ekonomikas ministrijai, ka Latvijā reģistrētas biedrības un nodibinājumi, kas veic saimniecisko darbību, ir iekļauti investīcijas gala labuma guvēju sarakstā. </w:t>
            </w:r>
            <w:r w:rsidR="00000000" w:rsidRPr="00000000" w:rsidDel="00000000">
              <w:rPr>
                <w:b w:val="1"/>
                <w:rtl w:val="0"/>
              </w:rPr>
              <w:t xml:space="preserve">Tomēr  aicinām Noteikumu projektā paredzēt punktu “Svītrot 20.4. apakšpunktu.”</w:t>
            </w:r>
            <w:r w:rsidR="00000000" w:rsidRPr="00000000" w:rsidDel="00000000">
              <w:rPr>
                <w:rtl w:val="0"/>
              </w:rPr>
              <w:t xml:space="preserve"> Vēršam uzmanību, ka 2.3.1.2.i. investīcijas "Uzņēmumu digitālo prasmju attīstība" īstenošanas noteikumu 20.4.apakšpunkts “kopējais Latvijā reģistrēto biedrības biedru un to biedru apgrozījums pēdējā noslēgtajā pārskata gadā pārsniedz 142 miljonus euro” pēc būtības ir ierobežojošs, jo tas nepamatoti izslēdz no iespējām pretendēt uz investīcijām tās BN, kuru apgrozījums nesasniedz šo salīdzinoši augsto slieksni. Tas rada nevienlīdzīgu situāciju starp dažāda mēroga organizācijām, īpaši mazākām BN, kam nav tik plašu finanšu resursu, bet kuras varētu būtiski veicināt projektu mērķu sasniegšanu. Vēršam uzmanību, ka subjektu loka paplašināšana varētu palīdzēt nodrošināt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paredzēt punktu “Svītrot 20.4.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05.03.2025.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05.03.2025.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