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autoceļu attīstības stratēģiju līdz 2040.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Satiksmes ministrijas izstrādāto dokumentu "Valsts autoceļu attīstības stratēģija līdz 2040.gadam", secināms, ka stratēģijā nav iekļauts Lielo un stratēģiski nozīmīgo investīciju projektu koordinācijas padomes 2025. gada 10. aprīļa sēdē nolemtais saistībā ar jautājumu par Rīgas Ziemeļu transporta koridora 3. un 4. posmu – A5 savienojumu ar Daugavgrīvas šoseju (protokola Nr. 2/2025 3.1.§  otrais punkts). Proti, Satiksmes ministrijai ir uzdots sagatavot precizējumu Eiropas Savienības TEN-T tīkla shēmai ar pamattīkla valsts autoceļa A5 posmu un Rīgas pilsētmezgla posmiem, ar pamatojumu TEN-T Regulas prasību kontekstā, un iesniegt Eiropas Komisijas Transporta un Mobilitātes Ģenerāldirektorātam. Stratēģijā šobrīd nav atspoguļotas padomes lēmumā paredzētās izmaiņas kā plānotas, lai gan tās ir būtiskas TEN-T tīkla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izsaka priekšlikumu stratēģiju papildināt,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atsauci uz minēto padomes lēmumu un nepieciešamību veikt izmaiņas TEN-T pamattīklā;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plānotajām izmaiņām TEN-T tīkla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norādi uz nepieciešamību šīs izmaiņas saskaņot ar attiecīgām pašvaldībām, nodrošinot teritoriālās attīstības plānu savstarpējo atbilstību un koordināciju ar valsts līmeņa transporta attīstības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Zakse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29.08.2025.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29.08.2025.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Atzinumi_25-TA-1223.docx</dc:title>
</cp:coreProperties>
</file>

<file path=docProps/custom.xml><?xml version="1.0" encoding="utf-8"?>
<Properties xmlns="http://schemas.openxmlformats.org/officeDocument/2006/custom-properties" xmlns:vt="http://schemas.openxmlformats.org/officeDocument/2006/docPropsVTypes"/>
</file>