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Korupcijas novēršanas un apkarošanas biroja amatpersonu dienesta apliecības un žetona paraugu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Noteikumi nosaka Korupcijas novēršanas un apkarošanas biroja (turpmāk – Birojs) amatpersonu un darbinieku (turpmāk - amatpersona) dienesta apliecības un žetona paraugu.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Korupcijas novēršanas un apkarošanas biroja likuma (turpmāk - Likums) 12. panta pirmajai daļai </w:t>
            </w:r>
            <w:r w:rsidR="00000000" w:rsidRPr="00000000" w:rsidDel="00000000">
              <w:rPr>
                <w:u w:val="single"/>
                <w:rtl w:val="0"/>
              </w:rPr>
              <w:t xml:space="preserve">Biroja amatpersonām</w:t>
            </w:r>
            <w:r w:rsidR="00000000" w:rsidRPr="00000000" w:rsidDel="00000000">
              <w:rPr>
                <w:rtl w:val="0"/>
              </w:rPr>
              <w:t xml:space="preserve"> to pilnvaru apliecināšanai izdod dienesta apliecību un speciālu žetonu. Savukārt Likuma 5. pants noteic, ka Birojā nodarbinātie ir Biroja amatpersonas un darbinieki. Ievērojot minēto, lūdzam precizēt projekta 1. punktu atbilstoši Likumam.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Noteikumi nosaka Korupcijas novēršanas un apkarošanas biroja (turpmāk – Birojs) amatpersonu dienesta apliecības un žetona paraugu.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Sermā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7.2. zem 7.1.punktā norādītās informācijas, teksts šādā izkārtojumā: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</w:t>
            </w:r>
            <w:r w:rsidR="00000000" w:rsidRPr="00000000" w:rsidDel="00000000">
              <w:rPr>
                <w:b w:val="1"/>
                <w:rtl w:val="0"/>
              </w:rPr>
              <w:t xml:space="preserve">Apliecības uzrādītājs ir tiesīgs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brīvi apmeklēt valsts pārvaldes un pašvaldību iestādes, kā arī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teritorijā izvietotās juridiskajām un fiziskajām personām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piederošās vai to lietošanā esošās ražošanas telpas, noliktavas,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tirdzniecības un citas nedzīvojamās telpas;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glabāt un nēsāt šaujamieročus un speciālos līdzekļus.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Apliecības uzrādītājs bez ģenerālprokurora</w:t>
            </w:r>
            <w:r w:rsidR="00000000" w:rsidRPr="00000000" w:rsidDel="00000000">
              <w:rPr>
                <w:b w:val="1"/>
                <w:rtl w:val="0"/>
              </w:rPr>
              <w:t xml:space="preserve">piekrišanas nav pakļaujams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aizturēšanai (arī administratīvajai aizturēšanai), kratīšanai,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piespiedu atvešanai;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kratīšanai vai apskatei nav pakļaujamas viņa dzīvojamās vai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dienesta telpas, personiskie vai dienesta transportlīdzekļi.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“NEAIZTURĒT UN NEPĀRBAUDĪT,</w:t>
            </w:r>
            <w:r w:rsidR="00000000" w:rsidRPr="00000000" w:rsidDel="00000000">
              <w:rPr>
                <w:b w:val="1"/>
                <w:rtl w:val="0"/>
              </w:rPr>
              <w:t xml:space="preserve">SNIEGT NEPIECIEŠAMO ATBALSTU!”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Projekts paredz, ka apliecības uzrādītājs bez ģenerālprokurora piekrišanas nav pakļaujams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aizturēšanai (arī administratīvajai aizturēšanai), kratīšanai,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piespiedu atvešanai;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kratīšanai vai apskatei nav pakļaujamas viņa dzīvojamās vai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dienesta telpas, personiskie vai dienesta transportlīdzekļi.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gramatiski precizēt 2.punktu, ņemot vērā, ka vārds "pakļaujams" atkārtojas gan ievaddaļā, gan 2.punktā.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Sermā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25-TA-1720</w:t>
    </w:r>
    <w:r>
      <w:br/>
    </w:r>
    <w:r w:rsidR="00000000" w:rsidRPr="00000000" w:rsidDel="00000000">
      <w:rPr>
        <w:rtl w:val="0"/>
      </w:rPr>
      <w:t xml:space="preserve">Izdrukāts 19.02.2026. 10.09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25-TA-1720</w:t>
    </w:r>
    <w:r>
      <w:br/>
    </w:r>
    <w:r w:rsidR="00000000" w:rsidRPr="00000000" w:rsidDel="00000000">
      <w:rPr>
        <w:rtl w:val="0"/>
      </w:rPr>
      <w:t xml:space="preserve">Izdrukāts 19.02.2026. 10.09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