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21-TA-933: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Biedrību un nodibinājumu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kā tiek veidota papildus amata vieta Valsts ieņēmumu dienestā. Ja minētā ir pilnīgi jauna amata vieta (netiek veikta amata vietu restrukturizācija iestādes vai resora ietvaros), lūdzam attiecīgi papildināt arī MK protokollēmumu ar atsevišķu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budžeta un finanšu vadību (turpmāk - LBFV) 46.panta pirmo daļu iestādes vadītājs ir atbildīgs par budžeta līdzekļu efektīvu un ekonomisku izlietošanu atbilstoši paredzētajiem mērķiem. Ņemot vērā minēto nevar rasties situācija, ka iestādē ir amata vietas, kurām nav finansējums. Iestādes vadītājs apstiprina amatu sarakstu iestāde, tādejādi pirmsšķietami prezumējot, ka visām amata vietām ir jābūt nodrošinātam finansējumam vismaz minimālā apmērā. Minētais arī nodrošina LBFV 46.panta piektajā daļā noteiktā ievērošanu - iestādes ir atbildīgas par valsts budžeta likumā noteiktās apropriācijas izpildes kontroles sistēmas izveidi un par valsts budžeta līdzekļu izlietojuma kontroli atbilstoši paredzētajiem mērķiem. </w:t>
            </w:r>
            <w:r w:rsidR="00000000" w:rsidRPr="00000000" w:rsidDel="00000000">
              <w:rPr>
                <w:rtl w:val="0"/>
              </w:rPr>
              <w:t xml:space="preserve">Ņemot vērā minēto nevaram piekrist, ka amata vietai nepieciešamais finansējums tiek rēķināts pilnā apmērā. Papildus finansējuma pieprasījums ir rēķināms kā starpība starp esošās amata vietas un jaunās amata vietas nepieciešamo finansējumu.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paredzētais mēnešalgas apmērs ir skalas viduspunkts un ieviestā atlīdzības sistēmas reforma paredz primāri konkurētspējīgu atlīdzību (radot nodarbinātajam maksimālu stabilitāti un ienākumu prognozējamību), kas ir attiecīgās mēnešalgas skalas viduspunkts, lūdzam objektīvi vērtēt kopējo atlīdzības apmēru, attiecīgi vispārējās piemaksas nosakot līdz 5% apmērā. Atlīdzības sistēmā, kura bija spēkā līdz 2022.gada 1.jūlijam, tika paredzēts, ka maksimālais piemaksu apmērs nedrīkst būt lielāks kā 60% no noteiktās mēnešalgas, pie kam mēnešalgas lielā mērā nebija pārskatītas no 2010.gada. Šobrīd jaunā atlīdzības sistēma jau paredz konkurētspējīgu (ar līdzīgas vērtības darbu privātajā sektorā) atalgojumu (mēnešalgu) - būtiski pārskatīta mēnešalgu skala, bet attiecīgi paredzot, ka kopējais piemaksu apmērs nedrīkst pārsniegt 30% apmēru.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21-TA-933</w:t>
    </w:r>
    <w:r>
      <w:br/>
    </w:r>
    <w:r w:rsidR="00000000" w:rsidRPr="00000000" w:rsidDel="00000000">
      <w:rPr>
        <w:rtl w:val="0"/>
      </w:rPr>
      <w:t xml:space="preserve">Izdrukāts 28.07.2023.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21-TA-933</w:t>
    </w:r>
    <w:r>
      <w:br/>
    </w:r>
    <w:r w:rsidR="00000000" w:rsidRPr="00000000" w:rsidDel="00000000">
      <w:rPr>
        <w:rtl w:val="0"/>
      </w:rPr>
      <w:t xml:space="preserve">Izdrukāts 28.07.2023.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Atzinumi_21-TA-933.docx</dc:title>
</cp:coreProperties>
</file>

<file path=docProps/custom.xml><?xml version="1.0" encoding="utf-8"?>
<Properties xmlns="http://schemas.openxmlformats.org/officeDocument/2006/custom-properties" xmlns:vt="http://schemas.openxmlformats.org/officeDocument/2006/docPropsVTypes"/>
</file>