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22-TA-2077: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Antimikrobiālās rezistences ierobežošanas un piesardzīgas antibiotiku lietošanas plāns “Viena veselība”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6.3 pasākumā 3.1. rezultatīvajam rādītājam jau pieejamo budžeta apmēru 2023., 2024., 2025. gadā, jo ir piešķirts finansējums jaunām Valsts pētījumu programmām Veselības un Zemkopības nozarēs, un antimikrobiālā rezistence līdz šim bijusi augsta prioritāte. Pretējā gadījumā nav iespējams realizēt 3.1 punktu bez budžeta. Lūdzu šo informāciju iegūt no VM un 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5.7 pasākumam, pie 2.2. rezultatīvā rādītāja norādīt kā līdzatbildīgo institūciju Latvijas Zinātnes padomi, kura būs Latvijas finansējošā institūcija European Partnership for One Health/Antimicrobial Resistance (AMR) atvērtajos projektu konkursos. Viernlaikus norādām, ka finansējums tiek piešķirts pēc MK 2015.g. 26. maija Noteikumiem Nr, 259, kur ir noteikts atbalsta saņēmēju loks, līdz ar to attiecībā uz valsts pārvaldes iestādēm un laboratorijām ir vajadzīgs cits finansējums dalībai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vēršam uzmanību uz to, ka šajā rezultatīvajā rādītājā kā atbildīgā institūcija būtu vēlams SPKC, jo BIOR ir arī zinātniski pētniecisko darbu izpildītājs, un kā vadošā institūcija varētu atrasties interešu konfliktā.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saturiski konsultējošo institūciju piesaistīt pēc iespējas Latvijas Organiskās sintēzes institūtu, kurš realizē 4 projektus ERA-NET JPIAMR antimikrobiālās rezistences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28.03.2023. 20.23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28.03.2023. 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Atzinumi_22-TA-2077.docx</dc:title>
</cp:coreProperties>
</file>

<file path=docProps/custom.xml><?xml version="1.0" encoding="utf-8"?>
<Properties xmlns="http://schemas.openxmlformats.org/officeDocument/2006/custom-properties" xmlns:vt="http://schemas.openxmlformats.org/officeDocument/2006/docPropsVTypes"/>
</file>