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Vides trokšņa stratēģisko karšu un rīcības plānu vides trokšņa pārvaldībai izstrādes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2.20. vides trokšņa robežlielums - vides trokšņa indikatora vērtība, kuru pārsniedzot attiecīgā institūcija izskata iespēju veikt vai veic pasākumus vides trokšņa indikatora vērtības samazināšanai;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noteikumu projekta 2.20. apakšpunktā svītrot “izskata iespēju”, jo mērķtiecīga pasākumu veikšana trokšņa  samazināšanai būtiski atšķiras no ”iespējas izskatīšanas” un iespējamas pasākumu nerealizēšanas.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trokšņa robežlielums - vides trokšņa indikatora vērtība (robežlielums), kas noteikta šo noteikumu pielikumā un, kuru pārsniedzot, attiecīgā institūcija veic pasākumus vides trokšņa indikatora vērtības samazināšanai;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Skaidrīte Ivanišaka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03.01.2023.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03.01.2023.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