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anotācijas 5.4. apakšsadaļas 1. tabulas </w:t>
            </w:r>
            <w:r w:rsidR="00000000" w:rsidRPr="00000000" w:rsidDel="00000000">
              <w:rPr>
                <w:i w:val="1"/>
                <w:rtl w:val="0"/>
              </w:rPr>
              <w:t xml:space="preserve">Eiropas Parlamenta un Padomes 2006. gada 18. decembra Regulas Nr. 1907/2006, kas attiecas uz ķimikāliju reģistrēšanu, vērtēšanu, licencēšanu un ierobežošanu (REACH) un ar kuru izveido Eiropas Ķimikāliju aģentūru, groza direktīvu 1999/45/EK un atceļ Padomes regulu (EEK) Nr. 793/93 un Komisijas regulu (EK) Nr. 1488/94, kā arī Padomes direktīvu 76/769/EEK un Komisijas direktīvu 91/155/EEK, direktīvu 93/67/EEK, direktīvu 93/105/EK un direktīvu 2000/21/EK,</w:t>
            </w:r>
            <w:r w:rsidR="00000000" w:rsidRPr="00000000" w:rsidDel="00000000">
              <w:rPr>
                <w:rtl w:val="0"/>
              </w:rPr>
              <w:t xml:space="preserve"> sadaļu un to pilnībā aizpildīt. Vēršam uzmanību, ka nav norādīts, vai minētās regulas I un II pielikums tiek pārņemts pilnībā vai daļēji.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24-TA-2091</w:t>
    </w:r>
    <w:r>
      <w:br/>
    </w:r>
    <w:r w:rsidR="00000000" w:rsidRPr="00000000" w:rsidDel="00000000">
      <w:rPr>
        <w:rtl w:val="0"/>
      </w:rPr>
      <w:t xml:space="preserve">Izdrukāts 16.01.2025. 23.19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24-TA-2091</w:t>
    </w:r>
    <w:r>
      <w:br/>
    </w:r>
    <w:r w:rsidR="00000000" w:rsidRPr="00000000" w:rsidDel="00000000">
      <w:rPr>
        <w:rtl w:val="0"/>
      </w:rPr>
      <w:t xml:space="preserve">Izdrukāts 16.01.2025. 23.19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