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tiek noteikti vairāki informācijas sniegšanas pienākumi, tostarp iesniegumu iesniegšana, datu ievade un aktualizēšana (likumprojekta 4., 5.,19., 21., 36. pants), aicinām likumprojekta anotācijā ietvert tiesību akta administratīvo izmaksu monetāro novērtējumu fiziskām un juridiskām personām, kā arī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noteikumu Nr. 617 “Tiesību akta projekta sākotnējās ietekmes izvērtēšanas kārtība” 15. punktam tiesību aktu projektos ir nepieciešams veikt administratīvo izmaksu monetāru novērtējumu, ja tas paredz vai maina pienākumus, kuru izpildei nepieciešama iesniegumu, pārskatu, deklarāciju, lūgumu, paziņojumu un pieteikumu iesniegšana, datu ievade vai aktualizēšana informācijas sistēmās, dokumentu glabāšana un uzrādīšana vai citu procesu nodrošināšana. Minētais pienākums ir attiecināms arī uz gadījumiem, kad ar nacionālo tiesību aktu tiek pārņemtas Eiropas Savienības prasības, jo tieši nacionālajā regulējumā tiek noteikti konkrētie pienākumi un to izpildes kārtība, kas var radīt administratīvās izmaksa tiesību akta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OECD administratīvā sloga mazināšanas metodoloģijā (pieejams: https://oecd-opsi.org/wp-content/uploads/2019/12/admin_simplification_methodology_16.08.pdf) ir uzsvērts, ka iestādēm, izstrādājot tiesību aktu projektus, ir pienākums izvērtēt to ietekmi uz administratīvajām izmaksām, jo jebkurš regulējums, kas ievieš strukturētus pienākumus vai procedūras, var radīt kvantitatīvi novērtējamu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2. un 7. sadaļu, tostarp veicot atbilstošus administratīvo izmaksu aprēķinus. Skaidrojam, ka novērtējums par fiziskām personām vai privāto tiesību juridiskām personām ir aizpildāms anotācijas 2. sadaļā, savukārt valsts un pašvaldību iestādēm – anotācijas 7. sadaļā. Administratīvo izmaksu monetārā novērtējuma veikšanai aicinām izmantot Vadlīnijās tiesību akta sākotnējās ietekmes novērtēšanai un novērtējuma ziņojuma sagatavošanai ietverto metodiku (22.–25. lpp.),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