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Labklājības ministrija nodrošina projekta rezultātu ilgtspēju vismaz piecus gadus pēc noslēguma maksājuma veikšanas finansējuma saņēmējam, izmantojot projekta ietvaros radīto infrastruktūru ģimeniskai videi pietuvināta pakalpojuma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16.punktā. Atkārtoti lūdzam tiesiskai noteiktībai Labklājības ministriju Ministru kabineta noteikumu projektā noteikt infrastruktūras uzraudzību ieguldījumu amortizācijas periodā, kā arī, ja gadījumā, ja pasākuma ietvaros izveidotā sabiedrībā balstītu sociālo pakalpojumu infrastruktūra amortizācijas periodā kļūst par infrastruktūru, kas saistīta ar saimniecisko darbību, kurai sniegtais atbalsts būtu kvalificējams kā komercdarbības atbalsts, labuma guvējs atmaksā sadarbības iestādei nelikumīgi saņemto atbalstu saskaņā ar Komercdarbības atbalsta kontroles likuma IV vai V nodaļu. Ar atbilstošu skaidrojumu par projektu uzraudzību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