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pirms paredzētās darbības pieteikšanas konsultējas ar pašvaldību par paredzētās darbības īstenošanas iespējām pašvaldības teritorijā. Paredzētajām darbībām, kuras saistītas ar transporta un elektronisko sakaru tīklu un enerģijas pārvades būvju būvniecību, kā arī nacionālo interešu objektiem konsultācijas ar pašvaldību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izsniedz ierosinātājam izziņu par paredzētās darbības atbilstību vai neatbilstību teritorijas plānojumam. Ja paredzētā darbība neatbilst teritorijas plānojumam, bet pašvaldība konceptuāli atbalsta paredzētās darbības īstenošanu savā teritorijā, pašvaldība izziņai pievieno lēmumu par nepieciešamo teritorijas plānojuma grozījumu vai lokālplānojuma izstrādes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piedāvātās 6.2 panta pirmās un otrās daļas un 12.panta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izsniegt izziņu par atbilstību teritorijas plānojumam   kopā ar jau pieņemtu pašvaldības domes lēmumu par  teritorijas plānojuma grozījumu vai Lokālplānojuma   izstrādes uzsākšanu, ja iecere neatbilsts spēkā esošajam teritorijas plānojumam, rada papildus administratīvo slogu pašvaldībai un ir pretrunā ar teritorijas plānošanas principiem un  faktiski ir ieceres iesniedzēja maldināšana, ka, teritorijas plānojuma grozījumu vai lokālplānojuma izstrādes process tiešām noslēgsies tam labvēlīgi.  Teritorijas plānojuma grozījumu un lokālplānojuma izstrāde ir komplicēts process, kuram normatīvajos aktos noteiktajā kārtībā ir noteikta konkrēta  izstrādes un apstiprināšanas procedūra un kurā tiek sabalansētas pašvaldības, sabiedrības, valsts institūciju un uzņēmēju intereses.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plānošanas dokumentu   izstrādes uzsākšanai  no ieceres ierosinātāja ir jāsaņem  iesniegums ar priekšlikumu par šo dokumentu izstrādes nepieciešamību, lai īstenotu paredzēto darbību.   Tāpat, anotācijā nepārprotami jānorāda, ka gadījumā, ja nepieciešama teritorijas plānojuma grozījumu vai lokālplānojuma izstrāde, tā jāfinansē paredzētās darbības ierosinātājam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pašvaldība nevar konceptuāli atbalstīt paredzēto darbību sākotnējā tās stadijā, ja pašvaldībai nav pietiekošas informācijas par paredzēto darbību un tās radītajām?/sagaidāmajām? ietekmēm, iespējamajām aizsargjoslām, utt.  “Konceptuālajam pašvaldības atbalstam” jeb “lēmumam” ir būtiska nozīme, proti, “pašvaldības atbalsts” ir “faktiska” pašvaldības piekrišana plānotās darbības realizācijai situācijā, kad darbība neatbilst teritorijas plānojumam, jo saskaņā ar Likumprojekta grozījumu 13.pantu, turpmāk lēmumu par darbības akceptēšanu vai neakceptēšanu pašvaldības teritorijā (IVN procedūras noslēgums), nepieņems pašvaldība, kā tas bija līdz šim, bet Vides pārraudzības valsts birojs kā kompetentā iestāde.  Ja IVN procesā birojs konstatē, ka darbība var radīt negatīvu ietekmi uz vidi un pārsniegt normatīvi aktu prasībās noteiktos robežlielumus, tad tāda netiks akceptēta. Šajā situācijā uz pašvaldību tiek likta liela atbildība teritorijas plānojuma izstrādes stadijā jau paredzēt iespējamās darbības, kas var vai nevar tikt veiktas konkrētajā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un tiesiski pašvaldība, darbības realizācijas sākuma stadijā, var tikai sniegt informāciju jeb izziņu, ka darbība neatbilst teritorijas plānojumam un, ka darbības realizācijai ir nepieciešams teritorijas plānojuma grozījumu veikšana vai lokālplānojuma izstrādes uzsākšana, bet ne konceptuālu atbalstu –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likumprojekta, ne no tā anotācijas nav skaidrs pēc kādiem kritērijiem un kāpēc tieši  transporta un elektronisko sakaru tīklu un  enerģijas pārvades būvju būvniecība ir uzskatāma par izņēmumu. Pirmkārt, pašvaldību teritorijas plānojumos transporta būves un inženiertīkli ir visās funkcionālajās zonās  atļautā izmantošana, izņemot īpašus gadījumus, kad nepieciešama to izvērtēšana – piemēram, atrodoties aizsargājamos dabas vai kultūrvēsturiskajos objektos. Līdz ar to, ja transporta vai inženiertīklu objekta apmērs sasniedz apjomu, kad tam ir nepieciešams veikt  ietekmes uz vidi novērtējumu (IVN), tad izņēmumiem nevajadzētu būt, jo tas nozīmē, ka ir paredzēta darbība, kurai ir būtiskā ietekme uz vidi, līdz ar to šai darbībai ir jāpiemēro likuma “Par ietekmes uz vidi novērtējumu”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visas paredzētās darbības, t.sk. arī tās, kas saistītas ar nacionālo interešu objektiem ar vietējo pašvaldību ir izdiskutējamas, piemēram, lai vienotos par pieņemamāko risinājumu ne tikai paredzētās darbības ierosinātajam, bet arī pašvaldībai (un  pašvaldības teritorijai)  - objekta novietojumus, trasējumus, aizsargjoslas u.tml., respektējot konkrētās pašvaldības administratīvajā teritorijā dzīvojošo iedzīvotāju intereses.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otrais teikums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paredzētā darbība neatbilst teritorijas plānojumam, bet pašvaldība konceptuāli atbalsta paredzētās darbības īstenošanu savā teritorijā, pašvaldība izziņā sniedz papildu informāciju, norādot nepieciešamību rosināt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visos likuma grozījuma punktos būtu svītrojams “….ar transporta un elektronisko sakaru tīklu un enerģijas pārvades būvju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Ierosinātājs nodrošina šā panta pirmajā daļā minētā paziņojuma nosūtīšanu vai pieprasa paziņojumu nosūtīt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tiem nekustamo īpašumu īpašniekiem (valdītājiem), kuru nekustamie īpašumi robežojas ar paredzētās darbības teritoriju, un tiem nekustamo īpašumu īpašniekiem (valdītājiem), kuru nekustamos īpašumus no paredzētās darbības teritorijas atdala transporta infrastruktūra vai ūdenstece;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šā panta 1. punktā minētajiem nekustamajiem īpašumiem izvietoto ēku un dzīvokļu īpašniekiem (valdītājiem).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Ja ierosinātājs pieprasa pašvaldībai nosūtīt šā panta 1.</w:t>
            </w:r>
            <w:r w:rsidR="00000000" w:rsidRPr="00000000" w:rsidDel="00000000">
              <w:rPr>
                <w:vertAlign w:val="superscript"/>
                <w:rtl w:val="0"/>
              </w:rPr>
              <w:t xml:space="preserve">1</w:t>
            </w:r>
            <w:r w:rsidR="00000000" w:rsidRPr="00000000" w:rsidDel="00000000">
              <w:rPr>
                <w:rtl w:val="0"/>
              </w:rPr>
              <w:t xml:space="preserve"> daļā minēto paziņojumu, pašvaldība, pamatojoties uz ierosinātāja sniegto informāciju par paredzētās darbības teritorijai līdzās izvietoto nekustamo īpašumu kadastra datiem, mēneša laikā nosūta minēto paziņojumu prioritārā secībā uz nekustamā īpašuma īpašnieka (valdītāja) oficiālo elektronisko adresi, saziņai ar pašvaldību norādīto elektroniskā pasta adresi, deklarēto dzīvesvietas adresi vai norādīto adresi saziņai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Ierosinātājs iesniedz pašvaldībai sākotnējai sabiedrības informēšanai nepieciešamos dokumentus papīra formā. Pašvaldība nodrošina šo dokumentu pieejamību sabiedrībai sākotnējās sabiedrības informēšanas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pret 15. panta 1.1 daļā noteikto, ka ierosinātājs pieprasa paziņojumu nosūtīt pašvaldībai. Nav pieļaujams likumā paredzēt iespēju paredzētās darbības ierosinātājam uzlikt atbildību pašvaldībai par sabiedrības informēšanu, bez tam tas ir papildu darba apjoms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15. panta (11) daļā vārdus “vai pieprasa paziņojumu nosūtīt pašvaldībai” un svītrot (12)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panta  1.1 daļas 2. punktu, tā  labākai  uztverei, piedāvājam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tiem ēku un dzīvokļu īpašniekiem (valdītājiem), kuriem piederošās (valdījumā  esošās)  ēkas un dzīvokļi  izvietoti šā panta 1. punktā  minētajos nekustamajos īpašumos.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paredzētās darbības akcepta lēmumu pēc šā likuma 6.</w:t>
            </w:r>
            <w:r w:rsidR="00000000" w:rsidRPr="00000000" w:rsidDel="00000000">
              <w:rPr>
                <w:vertAlign w:val="superscript"/>
                <w:rtl w:val="0"/>
              </w:rPr>
              <w:t xml:space="preserve">1</w:t>
            </w:r>
            <w:r w:rsidR="00000000" w:rsidRPr="00000000" w:rsidDel="00000000">
              <w:rPr>
                <w:rtl w:val="0"/>
              </w:rPr>
              <w:t xml:space="preserve"> panta sestajā daļā minētā iesnieguma saņemšanas. Ja kompetentā institūcija sniedza atzinumu par vairākām paredzētās darbības īstenošanas alternatīvām, ierosinātājs iesniegumā norāda, par kuru alternatīvu tiek pieprasīts akcepta lēmums.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Pieņemot paredzētās darbības akcepta lēmumu,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pieņemts lēmums akceptēt paredzēto darbību, tā īstenojama, ievērojot nosacījumus, kas izvirzīti saskaņā ar šā likuma 20. panta desmito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Paredzēto darbību akceptē Ministru kabineta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22. panta otrās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pašvaldības izvērtējot paredzēto darbību, ir tiesīgas un kompetentas paust par to  atzinumu, kas sagatavots, ievērojot  katras konkrētās pašvaldības plānošanas un attīstības dokumentus un stratēģiskos plānus. Pašvaldības sagatavotais atzinums ir jārespektē, gatavojot  paredzētās darbības akceptu, un tas (pašvaldības atzinums) nebūtu pielīdzināms kategorijai “sabiedrības viedoklis”, kam bieži ir emocionāls raksturs bez nopietnas viedokļa analīzes un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to izteikt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Pieņemot paredzētās darbības akcepta lēmumu, kompetentā institūcija ņem vērā attiecīgās pašvaldības atzinumu par paredzēto darbību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 punkta 8. apakšpunkta c)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un lūdzam svītrot likumprojekta normu, kas izslēdz 2.pielikuma 3. punkta 8. apakšpunkta c) punktu, proti, turpmāk paredzot, ka sākotnējais ietekmes uz vidi novērtējums netiks veikts   vēja elektrostaciju būvniecībai, ja  tā paredzēta tuvāk nekā 500 metru attālumā no dzīvojamām mājām, izņemot gadījumus, kad vēja elektrostacija paredzēta   dzīvojamās mājas elektroapgādei un tās jauda ir 20 kilovatu un vairāk.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Norādam, ka šāda likumprojekta norma ievērojami palielina sabiedrības īpašuma un veselības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vēja turbīnas var potenciāli traucēt arī elektromagnētiskos signālus, ko izmanto telekomunikāciju, navigācijas un radaru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vēja parku ietekmju mazināšanai uz tuvumā esošajām dzīvojamām teritorijām un iedzīvotāju dzīves apstākļiem un veselību, starp vēja parkiem un dzīvojamām teritorijām ir tieši saglabājamas un nosakāmas plašākas buferzonas.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 punkta 2.</w:t>
            </w:r>
            <w:r w:rsidR="00000000" w:rsidRPr="00000000" w:rsidDel="00000000">
              <w:rPr>
                <w:vertAlign w:val="superscript"/>
                <w:rtl w:val="0"/>
              </w:rPr>
              <w:t xml:space="preserve">1</w:t>
            </w:r>
            <w:r w:rsidR="00000000" w:rsidRPr="00000000" w:rsidDel="00000000">
              <w:rPr>
                <w:rtl w:val="0"/>
              </w:rPr>
              <w:t xml:space="preserve"> apakšpunktu aiz vārda "pielikums" ar vārdiem "izņemot gadījumus, kad tiek palielināta atkritumu apstrādes iekārtu jauda".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turpmāk atkritumu pārstrādes un apstrādes iekārtas jaudas palielināšanas gadījumā netiks veikts sākotnējais ietekmes uz vidi novērtējums.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Spēkā esošā likuma “Par ietekmes uz vidi  novērtējumu” 2. pielikuma 11. punkta “Pārējās darbības” 12 apakšpunkta e)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ne vairāk kā divus metrus platu gājēju ceļu ar mīksto segumu vai koka dēļu klājumu būvniecību, pārbūvi vai atjaunošanu”;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ērtu piekļuvi Baltijas jūras un Rīgas līča piekrastei un vienlaicīgi mazināt šīs zonas antropogēno slodzi, aicinām grozījumus likumā “Par ietekmes uz vidi novērtējumu” papildināt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 punkta 12 apakšpunkta e)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ne vairāk kā trīs metrus platu velo un gājēju ceļu ar mīksto segumu vai koka dēļu klājumu būvniecību, pārbūvi vai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Kompetentā institūcija pieņem paredzētās darbības akcepta lēmumu 10 darbdienu laikā pēc ierosinātāja iesnieguma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saistībā ar 6.1 panta otrā daļā noteikto, ka  kompetentā institūcija lēmumu par paredzētās darbības ietekmes uz vidi novērtējumu pieņem mēneša laikā no iesnieguma saņemšanas”, grozījumu projekta 6.1 panta sestajā daļā būtu jāprecizē iesnieguma veids.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6.1 panta sesto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Kompetentā institūcija pieņem paredzētās darbības akcepta lēmumu 10 darbdienu laikā pēc ierosinātāja iesnieguma par darbības akceptu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panta ceturtajā daļā novērst pārrakstīšanas kļūdu vārdā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w:t>
            </w:r>
            <w:r w:rsidR="00000000" w:rsidRPr="00000000" w:rsidDel="00000000">
              <w:rPr>
                <w:vertAlign w:val="superscript"/>
                <w:rtl w:val="0"/>
              </w:rPr>
              <w:t xml:space="preserve">1</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14.1 panta pirmajā daļā teikumu: "Kompetentā institūcija informē paredzētās darbības ierosinātāju un attiecīgo pašvaldību par to, vai nepieciešams organizēt sākotnējās sabiedriskās apspriešanas sanāksmi, un par nosacījumiem programmas izdošanai" un vienlaikus papildināt 14.1 pantu ar 1.3 daļu, kurā ir atsauce uz 14.1 panta pirmajā daļā minētās programmas izsniegšanu. Aicinām novērst pretrunas likumprojekta 14.1 panta normu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14.1 panta (13)  daļas nepieciešamību. Uzskatām, ka prasība par  informatīvās tāfeles izvietošanu nav lietderīga. Šādu prasību var paredzēt, bet ne kā obligātu, jo vairumā gadījumu tāfeles izvietošana vairāk ir deklaratīva, nedodot vēlamo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novērst  sekojošas neprecizitātes 2. pielikumā un veikt norādītos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 punkta 12. apakšpunkta b) apakšpunktu aiz vārda "pārbūvi" ar vārdiem "ciemos un teritorijās ārpus pilsētām un ciemiem",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11.punkta 12. apakšpunktu ar b1)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b1) esošo ēku vai būvju pārbūvi pilsētā, ja tām netiek mainīts lietošanas veids, ir nodrošināta piekļuve, kā arī, palielinot būves vai tās daļas apjomu, nav nepieciešama zemes lietojuma veida maiņa, t.i., ēkas un būves pārbūve tiek veikta esoša pagalma robežās,";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11.punkta 12. apakšpunktu ar f) un g)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pilsētu teritorijās inženierkomunikāciju būvniecību ielu sarkanajās līnijās un ārpus tām līdz esošai apbūvei īpašumos, kas robežojas ar konkrētajām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jaunu mazēku (palīgēkas vai nojumes), labiekārtojuma elementu būvniecība un 1. grupas ēku novietošana pilsētu teritorijās, ja tām ir nodrošināta piekļuve, būvniecība notiek uz zemes, kuras lietošanas veids ir noteikts kā zeme zem ēkām un pagalmiem, un ja šo darbību rezultātā nav nepieciešama zemes lietošanas veida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2026.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īstenot anotācijā norādīto, konkrēti, administratīvā sloga mazināšanu nekustamo īpašumu attīstīšanas jomā, aicinām Pārejas noteikumos ietvert punktu, kas nosaka, ka grozījumi 2. pielikumā  stājas spēkā nākamajā dienā pēc likuma “Par ietekmes uz vidi  novērtējumu”  grozījumu publicēšanas Latvijas vēstnesī.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05.12.2024.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05.12.2024.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