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2.</w:t>
            </w:r>
            <w:r w:rsidR="00000000" w:rsidRPr="00000000" w:rsidDel="00000000">
              <w:rPr>
                <w:vertAlign w:val="superscript"/>
                <w:rtl w:val="0"/>
              </w:rPr>
              <w:t xml:space="preserve">1</w:t>
            </w:r>
            <w:r w:rsidR="00000000" w:rsidRPr="00000000" w:rsidDel="00000000">
              <w:rPr>
                <w:rtl w:val="0"/>
              </w:rPr>
              <w:t xml:space="preserve">1.apakšpunktu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 </w:t>
            </w:r>
            <w:r w:rsidR="00000000" w:rsidRPr="00000000" w:rsidDel="00000000">
              <w:rPr>
                <w:b w:val="1"/>
                <w:rtl w:val="0"/>
              </w:rPr>
              <w:t xml:space="preserve">vai citā tūristiem nozīmīgā objektā vai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papildināt noteikumus ar 2.</w:t>
            </w:r>
            <w:r w:rsidR="00000000" w:rsidRPr="00000000" w:rsidDel="00000000">
              <w:rPr>
                <w:vertAlign w:val="superscript"/>
                <w:rtl w:val="0"/>
              </w:rPr>
              <w:t xml:space="preserve">1</w:t>
            </w:r>
            <w:r w:rsidR="00000000" w:rsidRPr="00000000" w:rsidDel="00000000">
              <w:rPr>
                <w:rtl w:val="0"/>
              </w:rPr>
              <w:t xml:space="preserve">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anotācijas (ex-ante) 2.1. punkta sadaļā “Problēmas apraksts” norādīts, ka normatīvā regulējuma pilnveidošana mazinās neskaidrības un pārpratumus attiecībā uz to, vai un kur sabiedriskajā transportā un sabiedriskā transporta infrastruktūras objektos informāciju drīkst sniegt ne tikai latviešu valodā, bet arī svešvalodā. Savukārt anotācijas (ex-ante) sadaļā “Risinājuma apraksts” norādīts, ka piedāvātie grozījumi ir vērsti uz to, lai, piemēram, sabiedriskajā transportā, kas pārvadā tūristus uz un no starptautiskās lidostas “Rīga”, Rīgas Centrālās dzelzceļa stacijas (Centrālā stacija “Rīga”), Rīgas pasažieru ostas un Rīgas Starptautiskās autoostas varētu sniegt informāciju arī Eiropas Savienības oficiālajās valodās. ..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arī šiem tūristiem sniedzot informāciju par sabiedriskā transporta pakalpojuma pieejamību pakalpojuma sniedzēja klientu centros, mājaslapā, biļešu automātos u.c., ievērojot MK noteikumu Nr. 130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LLPA ieskatā piedāvātais MK noteikumu projekta 2.</w:t>
            </w:r>
            <w:r w:rsidR="00000000" w:rsidRPr="00000000" w:rsidDel="00000000">
              <w:rPr>
                <w:vertAlign w:val="superscript"/>
                <w:rtl w:val="0"/>
              </w:rPr>
              <w:t xml:space="preserve">1</w:t>
            </w:r>
            <w:r w:rsidR="00000000" w:rsidRPr="00000000" w:rsidDel="00000000">
              <w:rPr>
                <w:rtl w:val="0"/>
              </w:rPr>
              <w:t xml:space="preserve">1.apakšpunkts problēmu par informācijas pieejamību par sabiedriskā transporta lietošanu tūristiem atrisina tikai daļēji, līdz ar ko LLPA  izsaka iebildumu pret MK noteikumu projekta tālāku virzību, aicinot novērst konstatētās nepilnības šī MK noteikumu projekta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valspilsētā tikai viens – 22.autobusa maršruts sākas / beidzas starptautiska mēroga transporta infrastruktūras objektā - starptautiskajā lidostā “Rīga”. Taču ļoti daudzi pilsētas nozīmes sabiedriskā transporta maršruti, piemēram, 1.tramvaja maršruta “Imanta-  Jugla” vai 21.maršruta autobusu maršruta “Imanta-Jugla” galapunkts nav anotācijā norādītā starptautiska mēroga transporta infrastruktūras objekts, tajā pašā laikā šo maršrutu, kā arī citu sabiedriskā transporta maršrutu pieturas, ir starptautiska mēroga transporta infrastruktūras objektu - Rīgas Centrālās dzelzceļa stacijas (Centrālā stacija “Rīga”)) un Rīgas Starptautiskās autoostas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valspilsētā sabiedrisko transportu nokļūšanai nozīmīgos tūrisma objektos, piemēram, Latvijas Etnogrāfiskajā brīvdabas muzejā, Rīgas Zooloģiskajā dārzā, Āgenskalna tirgū u.c.  lieto ne tikai Latvijas iedzīvotāji, bet arī ārvalstu tūristi, kuri objektīvi nekomunicē valsts valodā. Līdz ar to tūristiem sabiedriskā transporta pareiza lietošana ir apgrūtināta un rada nekorektu priekšstatu par Latvijas Valsti kā tūristiem pozitīvu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anotācijas 1.3.apakšpunkta sadaļas “Risinājuma apraksts” ceturto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šiem tūristiem nodrošinot arī nokļūšanu liela mēroga un tūristiem svarīgos objektos vai vietās, piemēram, Vecrīgā, Brīvdabas muzejā, Lielajos kapos, starptautisko izstāžu hallēs, vai citos liela mēroga pasākumos (Vispārējos latviešu Dziesmu un deju svētkos) vai valsts nozīmes tūrisma objektos (Rundāles pils, Gaujas nacionālais parks u.c.), šiem tūristiem sniedzot informāciju par sabiedriskā transporta pakalpojuma pieejamību pakalpojuma sniedzēja klientu centros, mājaslapā, biļešu automātos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13.09.2024.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