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25-TA-641: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1.3.1. specifiskā atbalsta mērķa "Izmantot digitalizācijas priekšrocības iedzīvotājiem, uzņēmumiem, pētniecības organizācijām un publiskajām iestādēm" 1.3.1.3. pasākuma "IKT risinājumu un pakalpojumu kiberdrošības paaugstināšana" īstenošanas noteikumi </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Pasākuma ietvaros tiek atbalstīti projekti atbilstoši Ministru kabinetā apstiprinātam projektu sarakstam, kuru sagatavo Viedās administrācijas un reģionālās attīstības ministrija kā valsts informācijas un komunikācijas tehnoloģiju pārvaldības organizācija (turpmāk – valsts informācijas un komunikācijas tehnoloģiju pārvaldības organizācija) un kurā norādīta informācija par projekta iesniedzēju, projekta nosaukums, finansējums un sasniedzamās rādītāju vērtības.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CERT.LV ieskatā, kā vienam no svarīgākajiem pasākuma mērķiem būtu jābūt Nacionālās kiberdrošības likuma ieviešana un prasību izpilde -  subjektu kiberdrošības stiprināšana atbilstoši Minimālo kiberdrošības prasību Ministru kabineta noteikumiem un tajos iekļautajām prasībām. Tāpēc Nacionālais kiberdrošības centrs, kas saskaņā ar Nacionālās kiberdrošības likuma 4. pantu "ir nacionālā kompetentā institūcija, kas darbojas Aizsardzības ministrijā kā vienotais kontaktpunkts kiberdrošības jautājumos un īsteno nacionālo kiberdrošības pārraudzību, veido nacionālās kiberdrošības rīcībpolitikas iniciatīvas" un CERT.LV gribētu laicīgi iepazīties ar Ministru kabineta noteikumu projekta 5.punktā iekļauto projektu sarakstu un tajos paredzētajām aktivitātēm, lai izteiktu savu viedokli, atbilstoši mūsu rīcībā esošajai informācijai par situāciju Latvijas kibertelpā un konkrēto subjektu infrastruktūru gatavību.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Neformālā kārtā precizēta Anotācija. Skat. precizēto Anotācijas 1.3. nodaļu.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Mārtužs (AM)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Pasākuma mērķis ir paaugstināt valsts informācijas un komunikācijas tehnoloģiju risinājumu un pakalpojumu kiberdrošību, lai nodrošinātu un veicinātu to noturību pret pieaugošajiem kiberdraudiem.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II sadaļā minētie kritēriji ir ļoti plaši interpretējami, bet jo īpaši 8.punktā un citur minētā frāze “mērķis ir paaugstināt valsts informācijas un komunikācijas tehnoloģiju risinājumu un pakalpojumu kiberdrošību, lai nodrošinātu un veicinātu to noturību pret pieaugošajiem kiberdraudiem”. CERT.LV ieskatā šī mērķa izpildes kritērijus būtu jāizskaidro, piemēram MK noteikumu projekta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papildināt anotāciju ar precizējumu par mērķa izpildes kritērijiem, piemēram: "Par mērķa sasniegšanu tiks uzskatīts, ja attiecīgajā risinājumā ir ieviestas normatīvajos aktos noteiktās kiberdrošības prasības, veikts kiberdrošības audits un/vai testa pārbaudes, ko apliecina dokumentēti novērtējumi."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anotācijas 1.3. nodaļu.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Mārtužs (AM)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Pasākuma mērķa grupa ir visi Latvijas iedzīvotāji, tiešās pārvaldes iestādes, pašvaldības, publiskas personas kapitālsabiedrības (deleģēto pārvaldes uzdevumu veikšanai), tiesu varas institūcijas.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īsti skaidra pasākumu mērķauditorija, jo pirmsšķietami 8. un 9.pantos minētās mērķauditorijas ir dažādas t.i. vai nu tās ir valsts pārvaldes iestādes un to Informācijas un komunikācijas tehnoloģiju risinājumi – arī par šāda termina lietojumu rodas jautājumi – vai arī tie 9.pantā minētie visi Latvijas iedzīvotāji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mērķa grupa ir, tiešās pārvaldes iestādes, pašvaldības, publiskas personas kapitālsabiedrības (deleģēto pārvaldes uzdevumu veikšanai), tiesu varas institūcijas, kā arī Latvijas iedzīvotāji kā šo noteikumu 8. punktā minēto informācijas un komunikācijas tehnoloģiju risinājumu lietotāji.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Mārtužs (AM)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Pievienota neformālā kārtā saskaņotā Anotācijas 1.3. nodaļas versija (izmaiņas norādītas </w:t>
            </w:r>
            <w:r w:rsidR="00000000" w:rsidRPr="00000000" w:rsidDel="00000000">
              <w:rPr>
                <w:b w:val="1"/>
                <w:rtl w:val="0"/>
              </w:rPr>
              <w:t xml:space="preserve">treknrakstā</w:t>
            </w:r>
            <w:r w:rsidR="00000000" w:rsidRPr="00000000" w:rsidDel="00000000">
              <w:rPr>
                <w:rtl w:val="0"/>
              </w:rPr>
              <w:t xml:space="preserve">), atsaucoties uz e-pastu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From: Ieva Briņķe &lt;Ieva.Brinke@varam.gov.lv&gt;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Sent: Friday, April 25, 2025 9:33 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 Jānis Mārtužs &lt;Janis.Martuzs@mod.gov.lv&gt;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Cc: Svetlana Sergejeva &lt;Svetlana.Sergejeva@varam.gov.lv&gt;; Evija Bistere &lt;Evija.Bistere@varam.gov.lv&gt;; Liene Gratkovska &lt;Liene.Gratkovska@varam.gov.lv&gt;; Evita Truhanova &lt;Evita.Truhanova@varam.gov.lv&gt;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Subject: Par tiesību akta projektu Nr. 25-TA-641 (Aizsardzības ministrijas iebildumi)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Labdien!</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Š.g. 24. aprīlī TAP portālā noslēdzās starpinstitūciju saskaņošana par VARAM sagatavoto tiesību aktu projektu  "Eiropas Savienības kohēzijas politikas programmas 2021.–2027. gadam 1.3.1. specifiskā atbalsta mērķa "Izmantot digitalizācijas priekšrocības iedzīvotājiem, uzņēmumiem, pētniecības organizācijām un publiskajām iestādēm" 1.3.1.3. pasākuma "IKT risinājumu un pakalpojumu kiberdrošības paaugstināšana" īstenošanas noteikumi"" (turpmāk – noteikumu projekts) (tiesību akta lietas Nr.: 25-TA-641).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Saskaņošanas ietvaros visas ministrijas un pašvaldības pārstāvošās organizācijas noteikumu projektu ir saskaņojušas bez iebildumiem, vienīgie iebildumi ir saņemti no Aizsardzības ministrijas. Ņemot vērā iebildumos, kā arī priekšlikumā pausto, nosūtām saskaņošanai precizēto MK noteikumu projektu (precizējumi 9.punktā), anotāciju (precizējumi 4. un 5.lpp) un izziņu (iekļauti Aizsardzības ministrijas iebildumi un 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MK noteikumu projekta steidzamību, kā arī nepieciešamību pēc iespējas ātrāk uzsākt 1.3.1.1. pasākuma ietvaros plānoto projektu īstenošanu, ja saskaņojat veiktos precizējumus, lūdzam izvērtēt iespēju TAP iesniegt atkārtotu Aizsardzības ministrijas atzinumu, iebildumus noformējot kā priekšlikumus, lai noteikumu projektu varētu virzīt izskatīšanai MK sēdē kā saskaņotu."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Nacionālajā attīstības plānā 2021.–2027. gadam (apstiprināts ar Latvijas Republikas Saeimas 2020. gada 2. jūlija lēmumu "Par Latvijas Nacionālo attīstības plānu 2021.–2027. gadam (NAP2027)") ir norādīts, ka digitālā transformācija un informācijas tehnoloģiju daudzpusīga izmantošana, kur drošības aspekti ir neatņemama sastāvdaļa, ir nozīmīga nozaru integrētas ekonomikas attīstībā. Latvijas Nacionālais attīstības plāns 2021.-2027. gadam nosaka rīcības virzienu “Tehnoloģiskā vide un pakalpojumi”, kas tostarp paredz, ka ikvienam elektroniskajam pakalpojumam un risinājumam pirms tā ieviešanas tiks veikts kiberdrošības risku izvērtējums, kā arī uzturēta kiberdrošība visā tā dzīvescikla laikā, lai nodrošinātu pakalpojuma un risinājuma nepārtrauktību, integritāti un datu aizsardzību atbilstoši normatīvo aktu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(turpmāk – ES) dalībvalstu vidū ir vērojams visaptverošs kiberdrošības jautājumu aktualitātes un nozīmes pieaugums. Ģeopolitiskie un ideoloģiskie konflikti turpina būt spēcīgs kiberuzbrukumu virzītājspēks. Kopš Krievijas iebrukuma Ukrainā, kiberapdraudējumu līmenis Latvijā ir būtiski pieaudzis. Latvijas atbalsts Ukrainai un Krievijas agresijas turpināšanās uztur augstu kiberapdraudējumu dinamiku, kas uzsver nepieciešamību pēc pastāvīgas modrības un uzlabotiem aizsardzības risinājumiem.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laikus reaģētu uz tendencēm kiberdrošības jomā, Eiropas Komisija un Eiropas Ārējās darbības dienests (EĀDD) 2020. gada decembrī iepazīstināja ar jauno ES Kiberdrošības stratēģiju digitālajai desmitgadei (pieejams tīmekļvietnē: https://digital-strategy.ec.europa.eu/en/library/eus-cybersecurity-strategy-digital-decade-0), kuras mērķis ir stiprināt Eiropas kopējo noturību pret kiberdraudiem un nodrošināt, lai visi iedzīvotāji un uzņēmumi varētu pilnībā izmantot priekšrocības, ko dod uzticami pakalpojumi un digitālie rīki, uz kuriem var paļauties. Minētā stratēģija nosaka, ka, veicot investīcijas digitālajā jomā, ir jānodrošina kiberdrošības prasību ieviešana.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kiberdrošības prioritātes Latvijā ir noteiktas ar MK 28.03.2023. rīkojumu Nr.138 apstiprinātajā stratēģijā “Par Latvijas kiberdrošības stratēģiju 2023.–2026. gadam” (turpmāk – Kiberdrošības stratēģija). Kiberdrošības stratēģijā definētās kiberdrošības prioritātes ir aizsardzība, tai skaitā stratēģiski plānojot IKT aizsardzību, un efektīvi reaģētu uz IKT ievainojamību ziņojumiem un drošības incidentiem, un nodrošinātu IKT aizsardzību un spēju funkcionēt, atturēšana un attīstība, tai skaitā attīstīt un pilnveidot publiskā sektora, būtisku pakalpojumu sniedzēju un svarīgu pakalpojumu sniedzēju IKT un IKT kritiskās infrastruktūras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Kiberdrošības stratēģijā ir secināts, ka līdz ar Krievijas iebrukumu Ukrainā, ir notikusi strauja reģionālās drošības situācijas pasliktināšanās, kas vēl vairāk ir aktualizējusi nepieciešamību stiprināt kiberdrošību Latvijā. Ir novērojama paaugstināta uzbrucēju aktivitāte - noris aktīva skenēšana, ievainojamību meklēšana valstiskas nozīmes sistēmās, informācijas ieguves mēģinājumi, pikšķerēšanas kampaņas, tai skaitā krāpniecisko e-pastu un sociālās inženierijas kampaņas. Lielā apjomā tiek piedzīvoti mērķēti pakalpojumatteices jeb DDoS uzbrukumi publiskā sektora sistēmām, kas īpaši pastiprinās līdz ar politiski vai sabiedriski nozīmīgiem notikumiem. Latvijas aktīvā loma starptautiskajā vidē un stingrā nostāja pret Krievijas agresiju Ukrainā padara to par populāru organizētu kiberuzbrukumu mērķi. Būtiskais ļaunprātīgu aktivitāšu pieaugums kibertelpā norāda uz vajadzību nodrošināt nepieciešamību stiprināt nacionālā līmeņa spējas, nodrošinot valsts funkcionēšanai nozīmīgo IKT resursu nepārtrauktību.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IKT attīstība gan Latvijā, gan ārvalstīs ir sasniegusi nebijušu ātrumu un apmēru. Jaunākās paaudzes IKT risinājumi nodrošina iespējas jebkurā laikā un vietā ātri un ērti iegūt plašu informāciju par notikumiem un procesiem Latvijā vai ārvalstīs, sazināties un apmainīties ar informāciju, veikt darījumus un norēķinus internetā, saņemt elektroniskos pakalpojumus, izveidot, parakstīt un nosūtīt elektroniskos dokumentus un saglabāt informāciju elektroniskā formā, izmantojot viedo ierīču un mākoņdatošanas pakalpojumu sniedzēju sniegtās priekšrocības.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pārvaldē daudzas no šīm tehnoloģijām tiek izmantotas un ir vitāli svarīgas sabiedrības un valsts pārvaldes iestāžu patstāvīgai un efektīvai funkcionēšanai, tādēļ ir būtiski, lai šīs tehnoloģijas būtu drošas.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kiberdrošības situācijas analīze liecina par strauju kiberincidentu pieaugumu valsts kopējā kiberdrošības segmentā. 2022. gadā Kiberincidentu novēršanas institūcijas CERT.LV reģistrēto un apstrādāto incidentu skaits pieauga par 40%. Valsts pārvaldes sektorā IKT sistēmu ievainojamību meklēšana augusi septiņas reizes, bet kopējais uzbrukumu apjoms ir četrkāršojies.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CERT.LV darbības pārskatā par 2024.gada 3.ceturksni (pieejams tīmekļvietnē: https://cert.lv/lv/2024/11/cert-lv-darbibas-parskats-par-2024-gada-3-ceturksni) fiksēts vēsturiski augstākais kiberapdraudējumu līmenis - 405 955 apdraudētas unikālas IP adreses ir līdz šim augstākais rādītājs, kas liecina par ievērojamu kiberapdraudējumu pieaugumu un aktivitāti. 2024. gada 3. ceturksnī reģistrēto ziņojumu skaits ir pieaudzis par 4,4 % salīdzinājumā ar iepriekšējo ceturksni un par 21 % salīdzinājumā ar attiecīgo periodu pērn.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Salīdzinot ar šo pašu periodu pirms gada, lielākais pieaugums ir šādos apdraudējuma veidos: kompromitētas iekārtas (+267 %); krāpšana (+183 %); pakalpojuma pieejamība (+158 %); ļaundabīgs kods (+73 %). Tomēr situācija Latvijas kibertelpā turpina saglabāties stabila. Kopumā fiksētie kiberuzbrukumi nav radījuši būtisku ietekmi uz sabiedrību, tās drošību un svarīgajiem pakalpojumiem, kas norāda uz efektīvu aizsardzības pasākumu esamību. Neskatoties uz to, ņemot vērā tehnoloģiju straujo attīstību, ir nepieciešama pastāvīga kiberdrošības risinājumu pilnveidošana un, ievērojot kiberapdraudējumu plašo spektru un nepārtraukto attīstību, efektīvākais veids to identificēšanai, novēršanai un seku mazināšanai ir labi koordinēta publiskā un privātā sektora sadarbība un proaktīva kibernoturības stiprināšana.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Eiropas Komisijas 2024.gada 30.oktobra ziņojumā par Eiropas civilās un militārās sagatavotības un gatavības stiprināšanu (pieejams tīmekļvietnē: https://commission.europa.eu/document/download/5bb2881f-9e29-42f2-8b77-8739b19d047c_en?filename=2024_Niinisto-report_Book_VF.pdf) norādīto ES ir jāspēj atbalstīt dalībvalstis pilsoņu pamatvajadzību nodrošināšanā, kā arī jāgarantē tās būtisko pakalpojumu un funkciju nepārtrauktība, piemēram, vienotā tirgus, sabiedriskās kārtības un drošības, enerģijas, transporta, telekomunikāciju un digitālo pakalpojumu nodrošināšana u.c. Augstāks digitālā savienojamības līmenis dalībvalstīs nozīmē plašāku lielāku kiberuzbrukumu potenciālu, ja netiek īstenoti atbilstoši kiberdrošības pasākumi.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Problēmas un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 specifiskā atbalsta mērķa "Izmantot digitalizācijas priekšrocības iedzīvotājiem, uzņēmumiem, pētniecības organizācijām un publiskajām iestādēm" 1.3.1.1. pasākuma "IKT risinājumu un pakalpojumu attīstība un iespēju radīšana privātajam sektoram" (turpmāk – 1.3.1.1. pasākums) ietvaros ir paredzēti ieguldījumi pamatā jaunu informācijas sistēmu un platformu funkcionalitāšu izveidē, kas vērstas uz uzņēmumiem, kā arī daļu investīciju plānots novirzīt projektiem, kas ir mērķēti uz Eiropas Savienības jauno prasību izpildi publisko pakalpojumu jomā, saglabājot fokusu uz uzņēmējiem. Vienlaikus, ir identificēta kritiska vajadzība veikt ieguldījumus vairāku jomu informācijas sistēmās, platformās un pakalpojumos, lai galvenokārt nodrošinātu šo sistēmu un platformu noturību pret pieaugošajiem kiberdraudiem, kā arī veicinātu Digitālās transformācijas pamatnostādnēs 2021. –2027 gadam (apstiprinātas ar MK 2021. gada 7. jūlija rīkojumu Nr. 490 "Par Digitālās transformācijas pamatnostādnēm 2021.-2027.gadam") noteiktos uzdevumus un mērķus attiecībā uz digitālo drošību un uzticamību.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Vērtējot līdzšinējo ieviešanas progresu un aktuālās valsts un nozaru prioritātes kopumā, Programmas vidusposma novērtējuma elastības finansējuma pārskatīšanas priekšlikums atbilstoši ES fondu tematiskās komitejas 2024. gada 31. oktobra sanāksmē lemtajam paredz pārvirzīt ES fondu finansējumu 33 305 324 euro apmērā no plānotā elastības finansējuma 1.3.1.3. pasākuma "IKT risinājumu un pakalpojumu kiberdrošības paaugstināšana" (turpmāk – 1.3.1.3. pasākums) īstenošanai, kura ietvaros plānots atbalsts valsts platformu un informācijas sistēmu attīstībai to kiberdrošības paaugstināšanai un noturības pret pieaugošajiem kiberdraudiem stiprināšanai, tai skaitā plānota valsts platformu un informācijas sistēmu drošai darbināšanai nepieciešamās infrastruktūras aparatūras un programmatūras komponentu iegāde kiberdrošības un noturības uzlabošanas nolūkos, drošai piekļuvei valsts informācijas sistēmām un platformām un drošai digitālajai komunikācijai nepieciešamās IKT aparatūras un iekārtu iegāde, kā arī valsts informācijas sistēmu un platformu programmatūras modificēšana un migrācija uz augstākas drošības pakāpes tehnoloģiskām platformām.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1.3.1.3. pasākuma ietvaros plānotās darbības nodrošinās nacionālā rādītāja "IKT risinājumu skaits, kam veikta kiberdrošības paaugstināšana" sasniegšanu, kura sasniegšanas uzraudzību pasākuma līmenī uzraudzīs sadarbības iestāde.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Mērķa sasniegšana būs nodrošināta, ja projekta ietvaros iekļautajā IKT risinājumā būs ieviestas normatīvajos aktos noteiktās kiberdrošības prasības, veikts kiberdrošības audits vai testa pārbaudes, ko apliecina dokumentēti novērtējumi.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1.3.1.3. pasākuma īstenošanu, noteikumu projektā paredzēts, ka 1.3.1.3. pasākuma ietvaros tiek atbalstīti projekti atbilstoši MK apstiprinātam projektu sarakstam, kuru sagatavos Viedās administrācijas un reģionālās attīstības ministrija (turpmāk – VARAM) kā valsts IKT pārvaldības organizācija un kurā tiks norādīta informācija par projekta iesniedzēju, projekta nosaukums, finansējums un sasniedzamās rādītāju vērtības. Plānotais 1.3.1.3.pasākuma finansējuma sadalījums pa projektiem tika konceptuāli saskaņots Digitālās modernizācijas tematiskās komitejas (turpmāk – DMK) 2025.gada 25.marta sēdē. Atbilstoši DMK sēdes protokollēmuma (protokols Nr.1 3. §)  2. un 3. punktam 1.3.1.3 pasākuma finansējuma saņēmējiem ir uzdots līdz 2025.gada 4.aprīlim pēc VARAM pieprasījuma sagatavot nepieciešamo informāciju MK rīkojuma projekta par 1.3.1.3. pasākuma ietvaros īstenojamo projektu saraksta sagatavošanai un VARAM līdz 2025.gada 30.aprīlim ir uzdevums sagatavot un iesniegt izskatīšanai MK rīkojuma projektu par 1.3.1.3. pasākuma ietvaros īstenojamo projektu sarakstu, kas tiks saskaņots Ministru kabineta 2021. gada 7. septembra noteikumu Nr. 606 “Ministru kabineta kārtības rullis”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Projektu sagatavošanā un izvērtēšanā jāņem vērā Nacionālās kiberdrošības likuma un ar to saistīto normatīvo aktu, tai skaitā minimālo kiberdrošības prasību izpilde, līdz ar to, lai nodrošinātu nacionālās kiberdrošības intereses un saskaņotu aktivitātes ar aktuālo situāciju Latvijas kibertelpā, pirms 1.3.1.3. pasākuma ietvaros īstenojamo projektu saraksta virzības saskaņošanai Vienotajā tiesību aktu projektu izstrādes un saskaņošanas portālā finansējuma saņēmējiem ir jāsaskaņo projektos plānoto darbību un sasniedzamo rezultātu apraksti ar Aizsardzības ministriju.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šo noteikumu 5. punktā minētā projektu saraksta apstiprināšanas MK sadarbības iestāde izsludina ierobežotu projektu iesniegumu atlasi un nosūta uzaicinājumu šo noteikumu 5. punktā minētajā projektu sarakstā norādītājiem projektu iesniedzējiem iesniegt projektu iesniegumus atlases nolikumā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Nozares ministrijas sagatavos IKT risinājumu aprakstus saskaņošanai atbilstoši MK 2023. gada 4. jūlija noteikumiem Nr. 368 "Informācijas sistēmu un to darbībai nepieciešamo informācijas un komunikācijas tehnoloģiju resursu un pakalpojumu attīstības aktivitāšu un likvidēšanas uzraudzības kārtība" (turpmāk – MK noteikumi Nr. 368) un tā saskaņošana ir jānodrošina līdz lēmuma pieņemšanai par projekta apstiprināšanu. VARAM kā IKT pārvaldības organizācija informēs sadarbības iestādi par projektiem, kuru ietvaros nav plānota attīstības aktivitāte MK noteikumu Nr. 368 izpratnē un uz kuriem nav attiecināms iepriekš minētais nosacījums par VARAM atzinuma saņemšanu.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Pasākumam pieejamais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ietvaros plānotais kopējais finansējums ir 39 182 735 euro, tai skaitā Eiropas Reģionālās attīstības fonda (turpmāk – ERAF) finansējums – 33 305 324 euro un nacionālais finansējums (valsts budžeta finansējums, pašvaldību budžeta finansējums, privātais finansējums) – ne mazāk kā 5 877 411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Prasības projekta iesniedzējam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nosaka, ka projekta iesniedzējs, kas pēc projekta iesnieguma apstiprināšanas ir finansējuma saņēmējs, 1.3.1.3. pasākuma ietvaros ir tiešās pārvaldes iestāde vai valsts kapitālsabiedrība (deleģēto pārvaldes uzdevumu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tiek noteiktas prasības projekta iesniedzējam un sadarbības partnerim, ievērojot, ka noteikumu projekts paredz iespēju par sadarbības partneri piesaistīt citu tiešās pārvaldes iestādi, pašvaldību, publiskas personas kapitālsabiedrību (deleģēto pārvaldes uzdevumu veikšanai), tiesu varas institūciju (tiesas, Latvijas Republikas prokuratūra).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ka projekta iesniegums tiek sagatavots atbilstoši projektu iesniegumu atlases nolikumā noteiktajām prasībām un iesniegts sadarbības iestādē, izmantojot Kohēzijas politikas fondu vadības informācijas sistēmu.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Atbalstāmās darbības un attiecināmās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Visas 1.3.1.3. pasākuma ietvaros plānotās atbalstāmās darbības atbilst ES kohēzijas politikas programmas 2021.–2027. gadam 1.3. prioritātes "Digitalizācija" noteiktajiem intervences kodiem – 16 "Valsts pārvaldes IKT risinājumi, e-pakalpojumi, lietotnes" (indikatīvais ERAF finansējums 30 640 899 euro) un 36 "IKT: cita veida IKT infrastruktūra (tostarp lielapjoma datorresursi/iekārtas, datu centri, sensori un citas bezvadu iekārtas)" (indikatīvais ERAF finansējums 2 664 425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nosaka atbalstāmās darbības un attiecināmās izmaksas. Projekta ietvaros attiecināmās izmaksas ir pakārtotas atbalstāmajām darbībām.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paredzēts, ka projekta attiecināmajās izmaksās ir iekļaujamas projekta iesniegumu pamatojošās dokumentācijas sagatavošanas izmaksas, tai skaitā izmaksu un ieguvumu analīzes (finanšu analīzi un ekonomisko analīzi) un informācijas sistēmas attīstības aktivitāšu apraksta sagatavošanas izmaksas, kā arī citas izmaksas, kas nepieciešamas projekta iesnieguma pamatojošās dokumentācijas izstrādei. Projekta attiecināmajās izmaksās nav iekļaujamas projekta iesnieguma veidlapas aizpildīšanas izmaksas, tai skaitā informācijas ievadīšana Kohēzijas politikas vadības un informācijas sistēmā. 1.3.1.3. pasākuma ietvaros ir atbalstāmas darbības, kas nodrošina vienlīdzību, iekļaušanu un nediskrimināciju.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Projektu izstrādes laikā, īstenošanā un vadībā tiks nodrošināta informācijas un vides pieejamības, nediskriminācijas pēc vecuma, dzimuma, etniskās piederības un citām pazīmēm un vienlīdzīgu iespēju principu ievērošana.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Personāla izmaksas, vienkāršotās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tiešo personāla izmaksu nodrošināšanai tiek piemērota personāla atlīdzības likme 20% apmērā no noteikumu projekta 22. punktā minētajām pārējām tiešajām attiecināmajām izmaksām, kas nav tiešās attiecināmās personāla izmaksas, saskaņā ar Eiropas Parlamenta un Padomes 2021. gada 24. jūnija Regulu (ES)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2021/1060) 55. panta 1. punktu. Personāla likmes aprēķins balstīts uz šādiem pamatprincipiem: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tas ir taisnīgs – personāla izmaksu likmes apmērs tiks piemērots vienādi visiem finansējuma saņēmējiem un vienādi visos projektos;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tas ir objektīvs – personāla izmaksu likmes apmērs ir aprēķināts, nepārsniedzot mēnešalgu grupu viduspunktus valsts un pašvaldību institūcijās nodarbinātajiem ierēdņiem un darbiniekiem un attiecīgi VARAM veiktajiem aprēķiniem, ņemot vērā indikatīvi prognozējamās projektu tiešās attiecināmās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tas ir pārbaudāms – personāla izmaksu likmes aprēķins ir pamatots ar VARAM veiktajiem aprēķiniem;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tas ir iepriekš noteikts – personāla izmaksu likme un piemērošanas nosacījumi ir noteikti 1.3.1.3. pasākuma reglamentējošos MK noteikumos, un piemērojami atbilstoši šajos MK noteikumos noteiktajām prasībām (tikai pēc attiecīgo 1.3.1.3. pasākuma reglamentējošo MK noteikumu spēkā stāšanās brīža).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noteikumu projektā noteiktos izmaksu attiecināmības nosacījumus un projektu kopējās izmaksas, projektu vadības un īstenošanas nodrošināšanai pieejamais finansējums vidēji būtu robežās no 65 041 euro līdz 1 105 691 euro. Kvalitatīvai projektu ieviešanai būtu nepieciešama vismaz vecākā projektu vadītāja (39.1. IV A amatu saime, 11. mēnešalgu grupa), projekta vadītāja asistenta (39.1. I amatu saime, 8. mēnešalgu grupa), finansista (15.1. III amatu saime, 10. mēnešalgu grupa), iepirkumu speciālista (2. IV amatu saime, 9. mēnešalgu grupa), vairāku informācijas sistēmu attīstības speciālistu (21.4 III-IV amatu saime, 11.-12. mēnešalgu grupa), kā arī informācijas sistēmas testētāja (21.9. II amatu saime, 10.mēnešalgu grupa) iesaiste, algu likmes nosakot saskaņā ar Valsts un pašvaldību institūciju amatpersonu un darbinieku atlīdzības likumā noteikto mēnešalgu grupu skalas viduspunktu (saskaņā ar mēnešalgu koeficientu viduspunktu pret bāzes likmi 2026. gadam). Ievērojot iepriekš minēto un vidējo atalgojuma līmeni pa mēnešalgu grupām valsts un pašvaldību institūcijās nodarbinātajiem ierēdņiem un darbiniekiem, šī finansējuma ietvaros projekta īstenošanas laikā (indikatīvi trīs gadu periodā) atkarībā no projekta kopējām izmaksām, tai skaitā konkrētā projekta tvēruma, specifikas un sarežģītības, kā arī no iestādes izvēlētās pieejas projekta pārvaldībā un projekta īstenošanas risinājumos, vidēji viena projekta ietvaros projekta personāla atalgojumam būtu iespējams piesaistīt finansējumu indikatīvi 0,5 – 8,5 slodzēm. Savukārt, ievērojot nepieciešamību nodrošināt konkurētspējīgu atalgojumu un motivāciju projektu īstenošanā iesaistītajam personālam, lai nodrošinātu kvalitatīvu projektu īstenošanu un pasākumā paredzēto rādītāju sasniegšanu, papildu finansējums iepriekš minētajam projekta personālam, kā arī papildu personālam nepietiekama ERAF finansējuma gadījumā būtu nodrošināms finansējuma saņēmējam sava esošā budžeta ietvaros. Projekta personāla izmaksas, kuras projektā plāno, piemērojot vienoto izmaksu likmi, ir skaidri nodalāmas no izveidojamo vai pilnveidojamo IKT risinājumu un ar tām saistītām citām projekta izmaksām, un nepastāv minēto izmaksu pārklāšanās.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Vienotā likme 15% apmērā no projektā paredzētajām tiešajām attiecināmajām projekta personāla atlīdzības izmaksām tiek piemērota projekta netiešo attiecināmo izmaksu, kas nav tieši saistītas ar projekta rezultātu sasniegšanu, bet atbalsta un nodrošina atbilstošus apstākļus projekta īstenošanai un projekta rezultātu sasniegšanai, noteikšanai. Projekta netiešās attiecināmās izmaksas ir finansējuma saņēmēja projekta vadības un īstenošanas personāla administratīvās izmaksas, kas paredzētas iestādes ikdienas darbības nodrošināšanai – izmaksas, kas ir nepieciešamas, lai iestāde varētu darboties un kas nav tieši saistītas ar projekta īstenošanu. Projekta vadības netiešajās attiecināmajās izmaksās ietilpst, piemēram, kancelejas preces, biroja piederumi un biroja aprīkojuma īre vai iegāde, telpu noma, komunālie maksājumi un telpu uzturēšanas izmaksas, telekomunikācijas, interneta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noteikumu projekts neparedz vienkāršoto izmaksu piemērošanu citām attiecināmo izmaksu pozīcijām, ņemot vērā, ka IKT projekti ir ļoti atšķirīgi pēc to sarežģītības pakāpes un informācijas sistēmu izstrādes izmaksu apjoms ir atkarīgs no nefunkcionālām un funkcionālām prasībām, kas raksturo to sarežģītību, piemēram, ietver integrācijas ar citām informācijas sistēmām, reģistriem, koplietošanas risinājumu izmantošanu, lietotāju skaitu, drošības, veiktspējas un citas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Neparedzētie izdevumi, citi izmaksu attiecināmības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projektu sarežģītību, projekta īstenošanas laikā var rasties papildu neparedzētas izmaksas. Līdzšinējā ES fondu 2014.-2020. gada plānošanas perioda pieredze VARAM pārziņā esošajos IKT projektos rāda, ka neatkarīgi no projekta gatavības pakāpes neparedzēto izmaksu iekļaušana projektos mazina projektu īstenošanas riskus. Ievērojot minēto, 1.3.1.3. pasākuma ietvaros paredzēts, ka neparedzētie izdevumi ir projekta attiecināmās izmaksas un nepārsniedz 3% no projekta kopējām attiecināmajām tiešajām izmaksām. Neparedzētie izdevumi tiek plānoti neparedzamu un iepriekš nezināmu darbu veikšanai vai papildus izmaiņu pieprasījumiem, kuri tiek konstatēti, piemēram, informācijas sistēmas izstrādes gaitā un kurus nebija iespējams precīzi definēt vai paredzēt publiskā iepirkuma tehniskās specifikācijas dokumentācijā, piesaistot informācijas sistēmas izstrādātāju. Neparedzētie izdevumi var tikt izmantoti arī 1.3.1.3. pasākuma informācijas sistēmas saskarņu un sadarbspējas nodrošināšanai ar jau esošajām citu resoru informācijas sistēmām, jo uz informācijas sistēmas izstrādātāja piesaistes publiskā iepirkuma izsludināšanas brīdi nav iespējams paredzēt visas nianses un darbietilpību, kāda jāieplāno no jauna veidojamās informācijas sistēmas sadarbspējas nodrošināšanai ar esošajām informācijas sistēmām. Nosakot neparedzēto izmaksu ierobežojumu projektā, ir ņemta vērā ES fondu 2014-2020. gada plānošanas perioda pieredze, kas liecina, ka neatkarīgi no projekta gatavības pakāpes neparedzēto izmaksu iekļaušana projektos mazina projektu īstenošanas riskus. Līdzekļus neparedzētiem izdevumiem finansējuma saņēmējs var izmantot attiecināmo izmaksu segšanai, ja attiecīgie neparedzētie izdevumi iepriekš saskaņoti ar sadarbības iestādi saskaņā ar civiltiesisko līgumu vai vienošanos.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Izmaksas ir attiecināmas no 2025. gada 15. maija. Lai veicinātu investīciju nonākšanu tautsaimniecībā un projektu darbību laicīgu uzsākšanu, projekta iesniedzējs dokumentācijas izstrādi var uzsākt vai iepirkuma procedūru par projekta ieviešanas dokumentācijas izstrādi vai informācijas sistēmas izstrādi var izsludināt pirms ir noslēgts civiltiesiskais līgums vai vienošanās par projekta īstenošanu, vienlaikus ievērojot, ka projekta iesniegumā neiekļauj pabeigtas darbības un finansējumu tām nepiešķir.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Projektu ietvaros licenču un to atjauninājumu darbības periods ir piemērojams atbilstoši licencēšanas noteikumiem, kas nepārsniedz piecus gadus un atjauninājumi var ietvert sistēmas ievainojamības un cita veida programmatūras atjauninājumus, kas nav uzskatāms par uzturēšanas atbalstu.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Pievienotās vērtības nodoklis, kas tiešā veidā saistīts ar projektu, uzskatāms par attiecināmām izmaksām saskaņā ar regulas 2021/1060 64. panta 1. punkta "c" apakšpunktā ietvertajiem nosacījumiem, ja tas nav atgūstams atbilstoši normatīvajiem aktiem nodokļu politikas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dubultā finansējuma risku, finansējuma saņēmējs nodrošina finanšu plūsmas (tai skaitā pievienotās vērtības nodokļa izmaksu uzskaiti) uzskatāmu nodalīšanu no citām finansējuma saņēmēja darbības finanšu plūsmām projekta īstenošanas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īstenošanas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noteikti projekta īstenošanas nosacījumi, tostarp projekta īstenošanas termiņš un komunikācijas un vizuālās identitātes pasākumu nodrošināšanas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saņēmējs nodrošina komunikācijas un vizuālās identitātes prasības saskaņā ar regulas 2021/1060 47. un 50. pantu un normatīvajiem aktiem par kārtību, kādā Eiropas Savienības fondu vadībā iesaistītās institūcijas nodrošina šo fondu ieviešanu 2021.–2027. gada plānošanas periodā, kā arī Eiropas Savienības fondu 2021.–2027. gada plānošanas perioda un Atveseļošanas fonda komunikācijas un dizaina vadlīnijām.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ka finansējuma saņēmējs un sadarbības partneris (ja attiecināms) nodrošina projekta rezultātu ilgtspēju, tai skaitā projekta ietvaros izveidoto un ieviesto IKT risinājumu darbību vismaz piecus gadus pēc projekta beigām. Projektu rezultātu plānotās uzturēšanas izmaksas tiks norādītas, virzot projektu sarakstu apstiprināšanai MK.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iesnieguma minimālais attiecināmo izmaksu apmērs nav mazāks par 200 000 euro (ieskaitot).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1.3.1.3. pasākuma ietvaros tiek atbalstīti projekti atbilstoši MK rīkojumam par 1.3.1.3. pasākuma projektu sarakstu, kurā norādīta informācija par projekta iesniedzēju, projekta nosaukumu, finansējumu, sasniedzamajām rādītāju vērtībām.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ka projekta īstenošanas laikā ir attiecināmas lietojumprogrammatūras risinājumu īres un saistīto pakalpojumu izmaksas projekta ietvaros īstenojamo risinājumu ieviešanai un aprobācijai. Saskaņā ar Finanšu ministrijas vadlīnijām "Vadlīnijas attiecināmo izmaksu noteikšanai Eiropas Savienības kohēzijas politikas programmas 2021.–2027. gada plānošanas periodā", plānojot projektam nepieciešamo finansējumu, projekta iesniedzējam ir jāizvērtē, vai iepriekš minēto lietojumprogrammatūras risinājumu saimnieciski izdevīgāk ir iegādāties vai nomāt, un finansējuma saņēmēja pienākums ir pamatot un pierādīt, ka ir ievērots saimnieciskā izdevīguma princips. Izmaksām ir jābūt pamatotām, noteiktām atbilstoši ekonomiskuma un efektivitātes principam, kā arī minētās izmaksas ir attiecināmas tikai projekta īstenošanas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Eiropas līmeņa ieteikumus attiecībā uz IKT risinājumu atkalizmantošanu, tai skaitā Eiropas Komisijas izstrādātās vadlīnijas "New European Interoperability Framework - Promoting seamless services and data flows for European public administrations", kā arī ES fondu 2014. – 2020. gada plānošanas perioda ieguldījumu IKT pieejamības, e-pārvaldes un pakalpojumu atbalsta pasākumu noslēguma izvērtējumā iekļautos ieteikumus, noteikumu projekts, paredz, ka finansējuma saņēmējs projekta ietvaros izstrādātās vai pielāgotās programmatūras dokumentētu pirmkodu publicē publiski pieejamā programmatūras koda repozitorijā (piemēram, https://github.com/), izņemot gadījumus, kas saskaņoti ar VARAM kā valsts IKT pārvaldības organizāciju. Informācija par pamatotiem izņēmumiem, kad prasība nav izpildāma, piemēram, ņemot vērā sistēmai izvirzītos drošības ierobežojumus, tiek iekļauta IKT risinājuma attīstības aktivitātes aprakstā, kas tiek saskaņots ar VARAM saskaņā ar MK noteikumiem Nr. 368.</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Citi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1.3.1.3. pasākuma ietvaros komercdarbības atbalsts nav paredzēts. Pasākuma ietvaros paredzēti valsts varas īstenošanas pasākumi, pārvaldes uzdevumu izpilde, vispārīgi pasākumi sabiedrības interesēs un plānotie finansējuma saņēmēji ir tiešās pārvaldes iestādes vai valsts kapitālsabiedrības, kas veic deleģēto pārvaldes uzdevumu izpildi, savukārt sadarbības partneri ir citas tiešās pārvaldes iestādes, pašvaldības, publiskas personas kapitālsabiedrības, kas veic deleģēto pārvaldes uzdevumu izpildi vai tiesu varas institūcijas, kas 1.3.1.3. pasākuma ietvaros neveiks saimniecisko darbību, līdz ar to 1.3.1.3. pasākums Komercdarbības atbalsta kontroles likuma 5. panta kontekstā nav jāvērtē. 1.3.1.3. pasākuma ietvaros tiks atbalstīti tikai tādi projekta ietvaros radītie vai uzlabotie informācijas un komunikācijas tehnoloģijas risinājumi, kas nepieciešami konkrētu valsts deleģētu funkciju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1.3.1.3. pasākuma īstenošanā būtiska ir savstarpējā koordinēšana ar 1.3.1.1. pasākumu un Atveseļošanas un noturības mehānisma plānu (turpmāk – AF plāns), vērtējot investīciju saturu un savstarpējo sinerģiju, lai nodrošinātu un novērstu iespējamu investīciju pārklāšanos, savstarpēji papildinošu investīciju gadījumā novēršot dubultā finansējuma risku. 1.3.1.3. pasākums papildina 1.3.1.1. pasākumu un AF plāna 2.1. reformu un investīciju virzienu "Valsts pārvaldes, tai skaitā pašvaldību digitālā transformācija". Dubultā finansējuma risks tiks novērsts projektu līmenī, nodrošinot, ka vienas un tās pašas atbalstāmās darbības un attiecināmās izmaksas netiks finansētas atkārtoti no dažādiem avotiem. Ņemot vērā, ka gan ES kohēzijas politikas programmas 2021.–2027. gadam, gan AF plāna investīciju ietvaros ir atbalstāmas līdzīgas darbības, projektu iesniedzējiem būs jāiesniedz apliecinājums par informētību attiecībā uz interešu konflikta jautājumu regulējumu un to integrāciju iekšējās kontroles sistēmā, tai skaitā apliecinot dubultā finansējuma novēršanas mehānismu pret citiem finansēšanas avotiem, ka vienas un tās pašas atbalstāmās darbības un attiecināmās izmaksas netiks finansētas no dažādiem avotiem.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īstenošana netieši veicinās Viedās specializācijas stratēģijas "Informācijas un komunikācijas tehnoloģijas” jomas paredzētos mērķus, vienlaikus pasākumā nav paredzētas pētniecības un attīstības darbības, līdz ar to netiks uzkrāti dati par RIS3 rādītājiem.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saņēmējs, īstenojot projektu, ievēro atbilstību projekta tvēruma jomas horizontālajam normatīvajam regulējumam.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projekta kopējās izmaksas pārsniedz vienu miljonu euro, noteikumu projekts paredz, ka projekta iesniedzējs veic izmaksu un ieguvumu analīzi (finanšu analīzi un ekonomisko analīzi), ko pievieno projekta iesniegumam.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1.3.1.3. pasākuma projektu pārskata periods jeb dzīves cikls ir 10 – 15 gadi. Ievērojot 1.3.1.3. pasākuma projektu specifiku, pamatotos gadījumos var piemērot citu projekta pārskata periodu jeb dzīves ciklu. Vienlaikus noteikumu projekts paredz izņēmumu, ka nosacījums par izmaksu un ieguvumu analīzes veikšanu, kas saskaņā ar MK 2023. gada 13. jūlija sēdes protokollēmumā (prot. Nr. 36 85.§ 3. punkts) doto uzdevumu tiek piemērots projektiem ar kopējām izmaksām virs viena miljona euro, netiek piemērots projektam, uz kuru ir attiecināms valsts noslēpuma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Pasākums kiberdrošības stiprināšanai MK tika atbalstīta kā viena no prioritātēm (MK 2024. gada 19.septembra ārkārtas sēdes protokola Nr. 38 2. § Informatīvais ziņojums "Par valsts budžeta likumprojektā iekļaujamiem prioritārajiem pasākumiem 2025., 2026., 2027. un 2028. gadam" 5. punkts), kas jāīsteno ES fondu finansējuma ietvaros.1.3.1.3. pasākuma projekti būs vērsti uz nacionālās un kiberdrošības stiprināšanu, kas ir būtiska valsts drošības un sabiedrības aizsardzības sastāvdaļa. Projekti tiks īstenoti, lai izpildītu Kiberdrošības stratēģijā noteiktās prioritātes, kā arī starptautiskās un ES saistības kiberdrošības jomā. Tā kā drošības apdraudējumu sekas var būt neatgriezeniskas un skart valsts informācijas sistēmu un kritiskās infrastruktūras darbību, šo projektu nepieciešamību nosaka galvenokārt valsts drošības un iedzīvotāju aizsardzības apsvērumi.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noteikti avansa saņemšanas nosacījumi. Ja finansējuma saņēmējs ir tiešās pārvaldes iestāde, tām avansa maksājumi netiek plānoti, jo tām ir iespējams saņemt priekšfinansējumu, pieprasot to no valsts budžeta.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ka projektu, uz kuru ir attiecināms valsts noslēpuma statuss, iesniedz, izvērtē un īsteno ievērojot normatīvos aktus par valsts noslēpumu saturošās informācijas glabāšanas un izmantošanas kārtību, kā arī tās aizsardzību. Līdz ar to uz projektiem, uz kuriem ir attiecināms valsts noslēpuma statuss, neattiecas, piemēram, MK noteikumu projekta 29.6. apakšpunktā minētās komunikācijas un vizuālās identitātes prasības, MK noteikumu projekta 39. punktā minētā prasība par uzraudzības padomes izveidi, kā arī attiecībā uz iepirkumiem piemēro Publisko iepirkumu likuma 3.panta astotajā daļā noteikto izņēmumu. Sadarbības iestāde minēto projektu un ar to saistīto dokumentāciju un izdevumus vērtēs, pārbaudīs un apstiprinās, pamatojoties uz Satversmes aizsardzības biroja un finansējuma saņēmēja sniegtajiem apliecinājumiem. Apliecinājumu saturu projektu atlases un vērtēšanas posmā sadarbības iestāde noteiks projektu vērtēšanas metodikā, savukārt projektu īstenošanas posmā – vienošanās par projekta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Sadarbības iestāde minētā projekta iesniegšanu organizēs un projektu vērtēs atbilstoši Eiropas Savienības fondu 2021.—2027. gada plānošanas perioda vadības likumā noteiktajām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Mārtužs (AM)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25-TA-641</w:t>
    </w:r>
    <w:r>
      <w:br/>
    </w:r>
    <w:r w:rsidR="00000000" w:rsidRPr="00000000" w:rsidDel="00000000">
      <w:rPr>
        <w:rtl w:val="0"/>
      </w:rPr>
      <w:t xml:space="preserve">Izdrukāts 29.04.2025. 16.23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25-TA-641</w:t>
    </w:r>
    <w:r>
      <w:br/>
    </w:r>
    <w:r w:rsidR="00000000" w:rsidRPr="00000000" w:rsidDel="00000000">
      <w:rPr>
        <w:rtl w:val="0"/>
      </w:rPr>
      <w:t xml:space="preserve">Izdrukāts 29.04.2025. 16.23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Atzinumi_25-TA-641.docx</dc:title>
</cp:coreProperties>
</file>

<file path=docProps/custom.xml><?xml version="1.0" encoding="utf-8"?>
<Properties xmlns="http://schemas.openxmlformats.org/officeDocument/2006/custom-properties" xmlns:vt="http://schemas.openxmlformats.org/officeDocument/2006/docPropsVTypes"/>
</file>