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satura centrs sarakstā iekļautajām profesionālajām kvalifikācijām profesionālās kvalifikācijas prasības publicē viena mēneša laikā savā tīmekļvietnē www.visc.gov.lv. pēc to saskaņošanas Apakšpadomē.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 punktā svītrot vārdus "sarakstā iekļautajām profesionālajām kvalifikācijām". Ja tiks izstrādātas profesionālās kvalifikācijas, kuras nosaukums vēl nav ietverts sarakstā, prasības, tad šīs prasības nevarēs tikt publicētas mēneša laikā pēc to saskaņošanas apakšpadomē, jo tās nosaukums mēneša laikā vēl nebūs ticis iekļauts sarakstā. Tāpēc aicinām paredzēt, ka profesionālās kvalifikācijas prasības tiek publicētas pēc to saskaņošanas Apakšpadomē, nenorādot, ka tiek publicētas tās prasības, kuru profesionālā kvalifikācija ir iekļauta sarakstā. Turklāt no projekta 2. punkta arī izriet, ka sarakstā tiek iekļautas tikai tās profesionālās kvalifikācijas, kuru prasības ir saskaņotas Apakšpadomē.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12.09.2023.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12.09.2023.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Atzinumi_23-TA-278.docx</dc:title>
</cp:coreProperties>
</file>

<file path=docProps/custom.xml><?xml version="1.0" encoding="utf-8"?>
<Properties xmlns="http://schemas.openxmlformats.org/officeDocument/2006/custom-properties" xmlns:vt="http://schemas.openxmlformats.org/officeDocument/2006/docPropsVTypes"/>
</file>