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laika grafiks 2025/2026)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(Aprēķins uzturēšanas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(VM) izstrādāto projektu “Grozījumi Ministru kabineta 2014. gada 11. marta noteikumos Nr. 134 "Noteikumi par vienoto veselības nozares elektronisko informācijas sistēmu"” (turpmāk arī Projekts) un iebilst pret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28. augusta noteikumos Nr. 555 "Veselības aprūpes pakalpojumu organizēšanas un samaksas kārtība"” tarifs, kurā iekļauts arī digitalizācijas izmaksu elements, neatbilst reālajiem izdevumiem. Turklāt, ņemot vērā, ka prasības medicīniskās dokumentācijas kārtošanai visām ārstniecības iestādēm ir vienādas, tarifa neatbilstības kompensēšana atsevišķām ārstniecības iestādēm rada nevienlīdzīgu attieksmi pret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11.06.2025.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11.06.2025.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